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E9" w:rsidRPr="00BA7B72" w:rsidRDefault="003C2DE9" w:rsidP="005A2950">
      <w:pPr>
        <w:pStyle w:val="HeadingEULA"/>
      </w:pPr>
      <w:r>
        <w:rPr>
          <w:sz w:val="20"/>
          <w:szCs w:val="20"/>
        </w:rPr>
        <w:t>LICENČNÍ PODMÍNKY PRO SOFTWARE SPOLEČNOSTI MICROSOFT</w:t>
      </w:r>
    </w:p>
    <w:p w:rsidR="00F14525" w:rsidRPr="00BA7B72" w:rsidRDefault="003C2DE9" w:rsidP="00272C82">
      <w:pPr>
        <w:pStyle w:val="HeadingSoftwareTitle"/>
        <w:pBdr>
          <w:bottom w:val="single" w:sz="4" w:space="3" w:color="auto"/>
        </w:pBdr>
      </w:pPr>
      <w:r>
        <w:rPr>
          <w:sz w:val="20"/>
          <w:szCs w:val="20"/>
        </w:rPr>
        <w:t>MICROSOFT VISUAL STUDIO TEAM FOUNDATION SERVER 2018, TRIAL VERSION, A</w:t>
      </w:r>
    </w:p>
    <w:p w:rsidR="003C2DE9" w:rsidRPr="00BA7B72" w:rsidRDefault="00255C30" w:rsidP="00272C82">
      <w:pPr>
        <w:pStyle w:val="HeadingSoftwareTitle"/>
        <w:pBdr>
          <w:bottom w:val="single" w:sz="4" w:space="3" w:color="auto"/>
        </w:pBdr>
      </w:pPr>
      <w:r>
        <w:rPr>
          <w:sz w:val="20"/>
          <w:szCs w:val="20"/>
        </w:rPr>
        <w:t>TEAM FOUNDATION SERVER EXPRESS VERSION</w:t>
      </w:r>
    </w:p>
    <w:p w:rsidR="003C2DE9" w:rsidRPr="00BA7B72" w:rsidRDefault="003C2DE9" w:rsidP="00CC50E7">
      <w:r>
        <w:rPr>
          <w:sz w:val="20"/>
          <w:szCs w:val="20"/>
        </w:rPr>
        <w:t>Tyto licenční podmínky představují smlouvu mezi společností Microsoft Corporation (nebo některou z jejích afilací v závislosti na tom, kde bydlíte) a vámi.</w:t>
      </w:r>
      <w:r w:rsidR="00E44086">
        <w:rPr>
          <w:sz w:val="20"/>
          <w:szCs w:val="20"/>
        </w:rPr>
        <w:t xml:space="preserve"> </w:t>
      </w:r>
      <w:r>
        <w:rPr>
          <w:sz w:val="20"/>
          <w:szCs w:val="20"/>
        </w:rPr>
        <w:t>Vztahují se na výše uvedený software.</w:t>
      </w:r>
      <w:r w:rsidR="00E44086">
        <w:rPr>
          <w:sz w:val="20"/>
          <w:szCs w:val="20"/>
        </w:rPr>
        <w:t xml:space="preserve"> </w:t>
      </w:r>
      <w:r>
        <w:rPr>
          <w:sz w:val="20"/>
          <w:szCs w:val="20"/>
        </w:rPr>
        <w:t>Podmínky se rovněž vztahují na jakékoli služby společnosti Microsoft a aktualizace pro software, pokud se na služby nebo aktualizace nevztahují odlišné podmínky.</w:t>
      </w:r>
    </w:p>
    <w:p w:rsidR="00AA45AF" w:rsidRPr="00BA7B72" w:rsidRDefault="005F7C07" w:rsidP="00CC50E7">
      <w:pPr>
        <w:pStyle w:val="Preamble"/>
      </w:pPr>
      <w:r>
        <w:rPr>
          <w:sz w:val="20"/>
          <w:szCs w:val="20"/>
        </w:rPr>
        <w:t>UŽITÍM SOFTWARU PŘIJÍMÁTE TYTO PODMÍNKY.</w:t>
      </w:r>
      <w:r w:rsidR="00E44086">
        <w:rPr>
          <w:sz w:val="20"/>
          <w:szCs w:val="20"/>
        </w:rPr>
        <w:t xml:space="preserve"> </w:t>
      </w:r>
      <w:r>
        <w:rPr>
          <w:sz w:val="20"/>
          <w:szCs w:val="20"/>
        </w:rPr>
        <w:t>POKUD JE NEPŘIJÍMÁTE, SOFTWARE NEUŽÍVEJTE.</w:t>
      </w:r>
      <w:r w:rsidR="00E44086">
        <w:rPr>
          <w:sz w:val="20"/>
          <w:szCs w:val="20"/>
        </w:rPr>
        <w:t xml:space="preserve"> </w:t>
      </w:r>
      <w:r>
        <w:rPr>
          <w:sz w:val="20"/>
          <w:szCs w:val="20"/>
        </w:rPr>
        <w:t>MÍSTO TOHO JEJ VRAŤTE PRODEJCI A OBDRŽÍTE NÁHRADU VE FORMĚ PENĚZ ČI ZBOŽÍ.</w:t>
      </w:r>
      <w:r w:rsidR="00E44086">
        <w:rPr>
          <w:b w:val="0"/>
          <w:bCs w:val="0"/>
          <w:sz w:val="20"/>
          <w:szCs w:val="20"/>
        </w:rPr>
        <w:t xml:space="preserve"> </w:t>
      </w:r>
      <w:r>
        <w:rPr>
          <w:b w:val="0"/>
          <w:bCs w:val="0"/>
          <w:sz w:val="20"/>
          <w:szCs w:val="20"/>
        </w:rPr>
        <w:t>Pokud náhradu nezískáte, obraťte se na společnost Microsoft nebo na afilaci společnosti Microsoft ve vaší zemi. Získáte zde informace o zásadách poskytování náhrad společností Microsoft.</w:t>
      </w:r>
      <w:r w:rsidR="00E44086">
        <w:rPr>
          <w:b w:val="0"/>
          <w:bCs w:val="0"/>
          <w:sz w:val="20"/>
          <w:szCs w:val="20"/>
        </w:rPr>
        <w:t xml:space="preserve"> </w:t>
      </w:r>
      <w:r>
        <w:rPr>
          <w:b w:val="0"/>
          <w:bCs w:val="0"/>
          <w:sz w:val="20"/>
          <w:szCs w:val="20"/>
        </w:rPr>
        <w:t xml:space="preserve">Další informace naleznete na adrese </w:t>
      </w:r>
      <w:hyperlink r:id="rId7" w:history="1">
        <w:r>
          <w:rPr>
            <w:rStyle w:val="Hyperlink"/>
            <w:rFonts w:cs="Tahoma"/>
            <w:b w:val="0"/>
            <w:bCs w:val="0"/>
            <w:sz w:val="20"/>
            <w:szCs w:val="20"/>
          </w:rPr>
          <w:t>http://www.microsoft.com/worldwide</w:t>
        </w:r>
      </w:hyperlink>
      <w:r>
        <w:rPr>
          <w:b w:val="0"/>
          <w:bCs w:val="0"/>
          <w:sz w:val="20"/>
          <w:szCs w:val="20"/>
        </w:rPr>
        <w:t>.</w:t>
      </w:r>
      <w:r w:rsidR="00E44086">
        <w:rPr>
          <w:b w:val="0"/>
          <w:bCs w:val="0"/>
          <w:sz w:val="20"/>
          <w:szCs w:val="20"/>
        </w:rPr>
        <w:t xml:space="preserve"> </w:t>
      </w:r>
      <w:r>
        <w:rPr>
          <w:b w:val="0"/>
          <w:bCs w:val="0"/>
          <w:sz w:val="20"/>
          <w:szCs w:val="20"/>
        </w:rPr>
        <w:t xml:space="preserve">V České republice použijte telefonní číslo (800) MICROSOFT nebo adresu </w:t>
      </w:r>
      <w:hyperlink r:id="rId8" w:history="1">
        <w:r>
          <w:rPr>
            <w:rStyle w:val="Hyperlink"/>
            <w:rFonts w:cs="Tahoma"/>
            <w:b w:val="0"/>
            <w:bCs w:val="0"/>
            <w:sz w:val="20"/>
            <w:szCs w:val="20"/>
          </w:rPr>
          <w:t>www.microsoft.com/info/nareturns.htm</w:t>
        </w:r>
      </w:hyperlink>
      <w:r>
        <w:rPr>
          <w:b w:val="0"/>
          <w:bCs w:val="0"/>
          <w:sz w:val="20"/>
          <w:szCs w:val="20"/>
        </w:rPr>
        <w:t>.</w:t>
      </w:r>
    </w:p>
    <w:p w:rsidR="00234402" w:rsidRPr="00BA7B72" w:rsidRDefault="009A6A09" w:rsidP="003F5A99">
      <w:pPr>
        <w:pStyle w:val="Preamble"/>
        <w:tabs>
          <w:tab w:val="left" w:leader="underscore" w:pos="9360"/>
        </w:tabs>
      </w:pPr>
      <w:r>
        <w:rPr>
          <w:b w:val="0"/>
          <w:sz w:val="20"/>
          <w:szCs w:val="20"/>
        </w:rPr>
        <w:tab/>
      </w:r>
    </w:p>
    <w:p w:rsidR="007B7A8B" w:rsidRPr="00BA7B72" w:rsidRDefault="008C730E" w:rsidP="007B7A8B">
      <w:pPr>
        <w:pStyle w:val="Preamble"/>
        <w:tabs>
          <w:tab w:val="left" w:leader="underscore" w:pos="9360"/>
        </w:tabs>
      </w:pPr>
      <w:r>
        <w:rPr>
          <w:sz w:val="20"/>
          <w:szCs w:val="20"/>
        </w:rPr>
        <w:t>PRÁVA K UŽÍVÁNÍ VERZÍ TEAM FOUNDATION SERVER TRIAL a TEAM FOUNDATION SERVER EXPRESS</w:t>
      </w:r>
      <w:r>
        <w:rPr>
          <w:b w:val="0"/>
          <w:sz w:val="20"/>
          <w:szCs w:val="20"/>
        </w:rPr>
        <w:t>.</w:t>
      </w:r>
      <w:r w:rsidR="00E44086">
        <w:rPr>
          <w:b w:val="0"/>
          <w:sz w:val="20"/>
          <w:szCs w:val="20"/>
        </w:rPr>
        <w:t xml:space="preserve"> </w:t>
      </w:r>
      <w:r>
        <w:rPr>
          <w:b w:val="0"/>
          <w:sz w:val="20"/>
          <w:szCs w:val="20"/>
        </w:rPr>
        <w:t>Pokud software představuje zkušební verzi nebo verzi Express, vztahuje se na jeho užívání tento oddíl.</w:t>
      </w:r>
    </w:p>
    <w:p w:rsidR="007B7A8B" w:rsidRPr="00BA7B72" w:rsidRDefault="007B7A8B" w:rsidP="007B7A8B">
      <w:pPr>
        <w:pStyle w:val="Preamble"/>
        <w:tabs>
          <w:tab w:val="left" w:leader="underscore" w:pos="9360"/>
        </w:tabs>
      </w:pPr>
      <w:bookmarkStart w:id="0" w:name="_Hlk493754447"/>
      <w:r>
        <w:rPr>
          <w:bCs w:val="0"/>
          <w:sz w:val="20"/>
          <w:szCs w:val="20"/>
        </w:rPr>
        <w:t>UŽÍVÁNÍ ZKUŠEBNÍ VERZE.</w:t>
      </w:r>
      <w:r w:rsidR="00E44086">
        <w:rPr>
          <w:b w:val="0"/>
          <w:sz w:val="20"/>
          <w:szCs w:val="20"/>
        </w:rPr>
        <w:t xml:space="preserve"> </w:t>
      </w:r>
      <w:r>
        <w:rPr>
          <w:b w:val="0"/>
          <w:sz w:val="20"/>
          <w:szCs w:val="20"/>
        </w:rPr>
        <w:t>Zkušební verzi je povoleno užívat pouze na vašich zařízeních a výhradně k vašim interním zkušebním účelům.</w:t>
      </w:r>
      <w:r w:rsidR="00E44086">
        <w:rPr>
          <w:b w:val="0"/>
          <w:sz w:val="20"/>
          <w:szCs w:val="20"/>
        </w:rPr>
        <w:t xml:space="preserve"> </w:t>
      </w:r>
      <w:r>
        <w:rPr>
          <w:b w:val="0"/>
          <w:sz w:val="20"/>
          <w:szCs w:val="20"/>
        </w:rPr>
        <w:t>Vaše práva ke zkušební verzi například nezahrnují právo užívat komponenty zkušební verze v produktivním režimu.</w:t>
      </w:r>
      <w:r w:rsidR="00E44086">
        <w:rPr>
          <w:b w:val="0"/>
          <w:sz w:val="20"/>
          <w:szCs w:val="20"/>
        </w:rPr>
        <w:t xml:space="preserve"> </w:t>
      </w:r>
    </w:p>
    <w:bookmarkEnd w:id="0"/>
    <w:p w:rsidR="00C750F4" w:rsidRPr="00BA7B72" w:rsidRDefault="00D92289" w:rsidP="002D4427">
      <w:pPr>
        <w:pStyle w:val="Heading1"/>
        <w:keepNext/>
        <w:numPr>
          <w:ilvl w:val="0"/>
          <w:numId w:val="0"/>
        </w:numPr>
      </w:pPr>
      <w:r>
        <w:rPr>
          <w:b w:val="0"/>
          <w:sz w:val="20"/>
          <w:szCs w:val="20"/>
        </w:rPr>
        <w:t>Zkušební verzi smíte užívat po dobu devadesáti (90) dní.</w:t>
      </w:r>
      <w:r w:rsidR="00E44086">
        <w:rPr>
          <w:b w:val="0"/>
          <w:sz w:val="20"/>
          <w:szCs w:val="20"/>
        </w:rPr>
        <w:t xml:space="preserve"> </w:t>
      </w:r>
      <w:r>
        <w:rPr>
          <w:b w:val="0"/>
          <w:sz w:val="20"/>
          <w:szCs w:val="20"/>
        </w:rPr>
        <w:t>Zkušební verze zobrazí šedesát (60) dní po instalaci a poté vždy, když se uživatel přihlásí ke konzole pro správu serveru, možnosti přechodu na jinou verzi. Svá práva ke zkušební verzi můžete kdykoli převést na verzi Express (bezplatně) nebo na úplná práva popsaná níže, a to nákupem licence k plnému užívání od společnosti Microsoft nebo jednoho z jejích distributorů.</w:t>
      </w:r>
      <w:r w:rsidR="00E44086">
        <w:rPr>
          <w:b w:val="0"/>
          <w:sz w:val="20"/>
          <w:szCs w:val="20"/>
        </w:rPr>
        <w:t xml:space="preserve"> </w:t>
      </w:r>
      <w:r>
        <w:rPr>
          <w:b w:val="0"/>
          <w:sz w:val="20"/>
          <w:szCs w:val="20"/>
        </w:rPr>
        <w:t>Po skončení období funkčnosti zkušební verze se může stát, že ztratíte přístup k datům používaným prostřednictvím této verze.</w:t>
      </w:r>
    </w:p>
    <w:p w:rsidR="001B06C6" w:rsidRPr="00BA7B72" w:rsidRDefault="001B06C6" w:rsidP="001B06C6">
      <w:pPr>
        <w:pStyle w:val="Preamble"/>
        <w:tabs>
          <w:tab w:val="left" w:leader="underscore" w:pos="9360"/>
        </w:tabs>
      </w:pPr>
      <w:r>
        <w:rPr>
          <w:bCs w:val="0"/>
          <w:sz w:val="20"/>
          <w:szCs w:val="20"/>
        </w:rPr>
        <w:t>POUŽÍVÁNÍ VERZE VISUAL STUDIO TEAM FOUNDATION SERVER EXPRESS.</w:t>
      </w:r>
      <w:r>
        <w:rPr>
          <w:b w:val="0"/>
          <w:sz w:val="20"/>
          <w:szCs w:val="20"/>
        </w:rPr>
        <w:t xml:space="preserve"> </w:t>
      </w:r>
    </w:p>
    <w:p w:rsidR="001B06C6" w:rsidRPr="00BA7B72" w:rsidRDefault="001B06C6" w:rsidP="001B06C6">
      <w:pPr>
        <w:pStyle w:val="Heading2"/>
        <w:tabs>
          <w:tab w:val="clear" w:pos="993"/>
          <w:tab w:val="num" w:pos="720"/>
        </w:tabs>
        <w:ind w:left="720" w:hanging="360"/>
      </w:pPr>
      <w:r>
        <w:rPr>
          <w:sz w:val="20"/>
          <w:szCs w:val="20"/>
        </w:rPr>
        <w:t>Spuštění instancí serverového softwaru.</w:t>
      </w:r>
      <w:r w:rsidR="00E44086">
        <w:rPr>
          <w:sz w:val="20"/>
          <w:szCs w:val="20"/>
        </w:rPr>
        <w:t xml:space="preserve"> </w:t>
      </w:r>
      <w:r>
        <w:rPr>
          <w:b w:val="0"/>
          <w:sz w:val="20"/>
          <w:szCs w:val="20"/>
        </w:rPr>
        <w:t xml:space="preserve">Můžete užívat pouze jednu instanci serverového softwaru přiřazenou k jednomu fyzickému, nebo virtuálnímu prostředí operačního systému. Pro účely tohoto poskytnutí licence Express se každý uživatel nebo zařízení připojené k serverovému softwaru považuje za uživatele nebo zařízení s licencí pro klientský přístup (CAL). Smíte připojit libovolnou kombinaci až pěti (5) uživatelů nebo zařízení pro přístup k jedné instanci serverového softwaru, je-li požadována licence CAL (případy, kdy licence CAL není požadována, jsou uvedeny v oddílu c níže). </w:t>
      </w:r>
    </w:p>
    <w:p w:rsidR="001B06C6" w:rsidRPr="00BA7B72" w:rsidRDefault="002656BA" w:rsidP="001B06C6">
      <w:pPr>
        <w:pStyle w:val="Heading2"/>
        <w:tabs>
          <w:tab w:val="clear" w:pos="993"/>
          <w:tab w:val="num" w:pos="720"/>
        </w:tabs>
        <w:ind w:left="720" w:hanging="360"/>
      </w:pPr>
      <w:r>
        <w:rPr>
          <w:sz w:val="20"/>
          <w:szCs w:val="20"/>
        </w:rPr>
        <w:t>Služba Visual Studio Team Foundation Build Services.</w:t>
      </w:r>
      <w:r w:rsidR="00E44086">
        <w:rPr>
          <w:sz w:val="20"/>
          <w:szCs w:val="20"/>
        </w:rPr>
        <w:t xml:space="preserve"> </w:t>
      </w:r>
      <w:r>
        <w:rPr>
          <w:b w:val="0"/>
          <w:bCs w:val="0"/>
          <w:sz w:val="20"/>
          <w:szCs w:val="20"/>
        </w:rPr>
        <w:t>Smíte kdykoli spouštět nebo jinak užívat libovolný počet instancí služeb Visual Studio Team Foundation Build Services ve fyzických nebo virtuálních prostředích operačního systému v libovolném počtu zařízení.</w:t>
      </w:r>
      <w:r w:rsidR="00E44086">
        <w:rPr>
          <w:b w:val="0"/>
          <w:bCs w:val="0"/>
          <w:sz w:val="20"/>
          <w:szCs w:val="20"/>
        </w:rPr>
        <w:t xml:space="preserve"> </w:t>
      </w:r>
      <w:r>
        <w:rPr>
          <w:b w:val="0"/>
          <w:bCs w:val="0"/>
          <w:sz w:val="20"/>
          <w:szCs w:val="20"/>
        </w:rPr>
        <w:t xml:space="preserve">Tento další software můžete používat pouze přímo se serverovým softwarem nebo nepřímo pomocí jiného dalšího softwaru. </w:t>
      </w:r>
    </w:p>
    <w:p w:rsidR="002553DA" w:rsidRPr="00BA7B72" w:rsidRDefault="00CC0F17" w:rsidP="00CC0F17">
      <w:pPr>
        <w:pStyle w:val="Heading2"/>
        <w:tabs>
          <w:tab w:val="clear" w:pos="993"/>
          <w:tab w:val="num" w:pos="720"/>
        </w:tabs>
        <w:ind w:left="720" w:hanging="360"/>
      </w:pPr>
      <w:r>
        <w:rPr>
          <w:sz w:val="20"/>
          <w:szCs w:val="20"/>
        </w:rPr>
        <w:t>Užití nevyžadující licenci CAL.</w:t>
      </w:r>
      <w:r w:rsidR="00E44086">
        <w:rPr>
          <w:sz w:val="20"/>
          <w:szCs w:val="20"/>
        </w:rPr>
        <w:t xml:space="preserve"> </w:t>
      </w:r>
      <w:r>
        <w:rPr>
          <w:b w:val="0"/>
          <w:sz w:val="20"/>
          <w:szCs w:val="20"/>
        </w:rPr>
        <w:t xml:space="preserve">Licence CAL není vyžadována: </w:t>
      </w:r>
    </w:p>
    <w:p w:rsidR="002553DA" w:rsidRPr="00BA7B72" w:rsidRDefault="002553DA" w:rsidP="00AE6FC8">
      <w:pPr>
        <w:pStyle w:val="Heading1"/>
        <w:numPr>
          <w:ilvl w:val="0"/>
          <w:numId w:val="24"/>
        </w:numPr>
      </w:pPr>
      <w:r>
        <w:rPr>
          <w:b w:val="0"/>
          <w:sz w:val="20"/>
          <w:szCs w:val="20"/>
        </w:rPr>
        <w:t xml:space="preserve">pro zobrazování, úpravy nebo zadávání pracovních položek; nebo </w:t>
      </w:r>
    </w:p>
    <w:p w:rsidR="00A062B6" w:rsidRPr="00BA7B72" w:rsidRDefault="00CC3586" w:rsidP="00AE6FC8">
      <w:pPr>
        <w:pStyle w:val="Heading1"/>
        <w:numPr>
          <w:ilvl w:val="0"/>
          <w:numId w:val="24"/>
        </w:numPr>
      </w:pPr>
      <w:r>
        <w:rPr>
          <w:b w:val="0"/>
          <w:sz w:val="20"/>
          <w:szCs w:val="20"/>
        </w:rPr>
        <w:t>pro přístup k produktu Visual Studio Team Foundation Server prostřednictvím připojení z fondu z jiné integrované aplikace či služby.</w:t>
      </w:r>
    </w:p>
    <w:p w:rsidR="003C4EF2" w:rsidRPr="00BA7B72" w:rsidRDefault="003C4EF2" w:rsidP="003C4EF2">
      <w:pPr>
        <w:pStyle w:val="Heading2"/>
        <w:keepNext/>
        <w:tabs>
          <w:tab w:val="clear" w:pos="993"/>
          <w:tab w:val="num" w:pos="720"/>
        </w:tabs>
        <w:ind w:left="720" w:hanging="360"/>
      </w:pPr>
      <w:r>
        <w:rPr>
          <w:sz w:val="20"/>
          <w:szCs w:val="20"/>
        </w:rPr>
        <w:lastRenderedPageBreak/>
        <w:t>Vyžadované další licence.</w:t>
      </w:r>
      <w:r w:rsidR="00E44086">
        <w:rPr>
          <w:sz w:val="20"/>
          <w:szCs w:val="20"/>
        </w:rPr>
        <w:t xml:space="preserve"> </w:t>
      </w:r>
      <w:r>
        <w:rPr>
          <w:b w:val="0"/>
          <w:sz w:val="20"/>
          <w:szCs w:val="20"/>
        </w:rPr>
        <w:t>K využívání funkcí softwaru, správě testování, správě balíčků nebo souběžnému nasazování v rámci správy verzí musí být uživatel držitelem licence pro jeden z uvedených odběrů, a to následujícím způsobem:</w:t>
      </w:r>
    </w:p>
    <w:p w:rsidR="003C4EF2" w:rsidRPr="00BA7B72" w:rsidRDefault="003C4EF2" w:rsidP="003C4EF2">
      <w:pPr>
        <w:pStyle w:val="Bullet4"/>
        <w:tabs>
          <w:tab w:val="clear" w:pos="1437"/>
          <w:tab w:val="num" w:pos="1080"/>
        </w:tabs>
        <w:ind w:left="1080" w:hanging="360"/>
      </w:pPr>
      <w:r>
        <w:rPr>
          <w:sz w:val="20"/>
          <w:szCs w:val="20"/>
          <w:u w:val="single"/>
        </w:rPr>
        <w:t>Správa testování</w:t>
      </w:r>
    </w:p>
    <w:p w:rsidR="003C4EF2" w:rsidRPr="00BA7B72" w:rsidRDefault="003C4EF2" w:rsidP="00655210">
      <w:pPr>
        <w:pStyle w:val="Heading2"/>
        <w:widowControl w:val="0"/>
        <w:numPr>
          <w:ilvl w:val="0"/>
          <w:numId w:val="0"/>
        </w:numPr>
        <w:ind w:left="1080"/>
      </w:pPr>
      <w:r>
        <w:rPr>
          <w:b w:val="0"/>
          <w:sz w:val="20"/>
          <w:szCs w:val="20"/>
        </w:rPr>
        <w:t xml:space="preserve">Odběr produktu Visual Studio Enterprise </w:t>
      </w:r>
    </w:p>
    <w:p w:rsidR="003C4EF2" w:rsidRPr="00BA7B72" w:rsidRDefault="003C4EF2" w:rsidP="00655210">
      <w:pPr>
        <w:pStyle w:val="Heading2"/>
        <w:widowControl w:val="0"/>
        <w:numPr>
          <w:ilvl w:val="0"/>
          <w:numId w:val="0"/>
        </w:numPr>
        <w:ind w:left="1080"/>
      </w:pPr>
      <w:r>
        <w:rPr>
          <w:b w:val="0"/>
          <w:sz w:val="20"/>
          <w:szCs w:val="20"/>
        </w:rPr>
        <w:t xml:space="preserve">Visual Studio Enterprise – měsíční odběr </w:t>
      </w:r>
    </w:p>
    <w:p w:rsidR="003C4EF2" w:rsidRPr="00BA7B72" w:rsidRDefault="003C4EF2" w:rsidP="00655210">
      <w:pPr>
        <w:pStyle w:val="Heading2"/>
        <w:widowControl w:val="0"/>
        <w:numPr>
          <w:ilvl w:val="0"/>
          <w:numId w:val="0"/>
        </w:numPr>
        <w:ind w:left="1080"/>
      </w:pPr>
      <w:r>
        <w:rPr>
          <w:b w:val="0"/>
          <w:sz w:val="20"/>
          <w:szCs w:val="20"/>
        </w:rPr>
        <w:t>Visual Studio Enterprise – roční odběr</w:t>
      </w:r>
      <w:r w:rsidR="00E44086">
        <w:rPr>
          <w:b w:val="0"/>
          <w:sz w:val="20"/>
          <w:szCs w:val="20"/>
        </w:rPr>
        <w:t xml:space="preserve"> </w:t>
      </w:r>
    </w:p>
    <w:p w:rsidR="003C4EF2" w:rsidRPr="00BA7B72" w:rsidRDefault="003C4EF2" w:rsidP="00655210">
      <w:pPr>
        <w:pStyle w:val="Heading2"/>
        <w:widowControl w:val="0"/>
        <w:numPr>
          <w:ilvl w:val="0"/>
          <w:numId w:val="0"/>
        </w:numPr>
        <w:ind w:left="1080"/>
      </w:pPr>
      <w:r>
        <w:rPr>
          <w:b w:val="0"/>
          <w:sz w:val="20"/>
          <w:szCs w:val="20"/>
        </w:rPr>
        <w:t>Platformy MSDN nebo</w:t>
      </w:r>
    </w:p>
    <w:p w:rsidR="003C4EF2" w:rsidRPr="00BA7B72" w:rsidRDefault="003C4EF2" w:rsidP="00655210">
      <w:pPr>
        <w:pStyle w:val="Heading2"/>
        <w:widowControl w:val="0"/>
        <w:numPr>
          <w:ilvl w:val="0"/>
          <w:numId w:val="0"/>
        </w:numPr>
        <w:ind w:left="1080"/>
      </w:pPr>
      <w:r>
        <w:rPr>
          <w:b w:val="0"/>
          <w:sz w:val="20"/>
          <w:szCs w:val="20"/>
        </w:rPr>
        <w:t>Placený plán pro správce testování služeb Visual Studio Team Services</w:t>
      </w:r>
    </w:p>
    <w:p w:rsidR="003C4EF2" w:rsidRPr="00BA7B72" w:rsidRDefault="003C4EF2" w:rsidP="003C4EF2">
      <w:pPr>
        <w:pStyle w:val="Bullet4"/>
        <w:tabs>
          <w:tab w:val="clear" w:pos="1437"/>
          <w:tab w:val="num" w:pos="1080"/>
        </w:tabs>
        <w:ind w:left="1080" w:hanging="360"/>
      </w:pPr>
      <w:r>
        <w:rPr>
          <w:sz w:val="20"/>
          <w:szCs w:val="20"/>
          <w:u w:val="single"/>
        </w:rPr>
        <w:t>Správa balíčků</w:t>
      </w:r>
    </w:p>
    <w:p w:rsidR="003C4EF2" w:rsidRPr="00BA7B72" w:rsidRDefault="003C4EF2" w:rsidP="00655210">
      <w:pPr>
        <w:pStyle w:val="Heading2"/>
        <w:widowControl w:val="0"/>
        <w:numPr>
          <w:ilvl w:val="0"/>
          <w:numId w:val="0"/>
        </w:numPr>
        <w:ind w:left="1080"/>
      </w:pPr>
      <w:r>
        <w:rPr>
          <w:b w:val="0"/>
          <w:sz w:val="20"/>
          <w:szCs w:val="20"/>
        </w:rPr>
        <w:t xml:space="preserve">Odběr produktu Visual Studio Enterprise </w:t>
      </w:r>
    </w:p>
    <w:p w:rsidR="003C4EF2" w:rsidRPr="00BA7B72" w:rsidRDefault="003C4EF2" w:rsidP="00655210">
      <w:pPr>
        <w:pStyle w:val="Heading2"/>
        <w:widowControl w:val="0"/>
        <w:numPr>
          <w:ilvl w:val="0"/>
          <w:numId w:val="0"/>
        </w:numPr>
        <w:ind w:left="1080"/>
      </w:pPr>
      <w:r>
        <w:rPr>
          <w:b w:val="0"/>
          <w:sz w:val="20"/>
          <w:szCs w:val="20"/>
        </w:rPr>
        <w:t xml:space="preserve">Visual Studio Enterprise – měsíční odběr </w:t>
      </w:r>
    </w:p>
    <w:p w:rsidR="003C4EF2" w:rsidRPr="00BA7B72" w:rsidRDefault="003C4EF2" w:rsidP="00655210">
      <w:pPr>
        <w:pStyle w:val="Heading2"/>
        <w:widowControl w:val="0"/>
        <w:numPr>
          <w:ilvl w:val="0"/>
          <w:numId w:val="0"/>
        </w:numPr>
        <w:ind w:left="1080"/>
      </w:pPr>
      <w:r>
        <w:rPr>
          <w:b w:val="0"/>
          <w:sz w:val="20"/>
          <w:szCs w:val="20"/>
        </w:rPr>
        <w:t xml:space="preserve">Visual Studio Enterprise – roční odběr nebo </w:t>
      </w:r>
    </w:p>
    <w:p w:rsidR="003C4EF2" w:rsidRPr="00BA7B72" w:rsidRDefault="003C4EF2" w:rsidP="00655210">
      <w:pPr>
        <w:pStyle w:val="Heading2"/>
        <w:widowControl w:val="0"/>
        <w:numPr>
          <w:ilvl w:val="0"/>
          <w:numId w:val="0"/>
        </w:numPr>
        <w:ind w:left="1080"/>
      </w:pPr>
      <w:r>
        <w:rPr>
          <w:b w:val="0"/>
          <w:sz w:val="20"/>
          <w:szCs w:val="20"/>
        </w:rPr>
        <w:t>Placený plán pro správu balíčků služeb Visual Studio Team Services</w:t>
      </w:r>
    </w:p>
    <w:p w:rsidR="003C4EF2" w:rsidRPr="00BA7B72" w:rsidRDefault="003C4EF2" w:rsidP="003C4EF2">
      <w:pPr>
        <w:pStyle w:val="Bullet4"/>
        <w:numPr>
          <w:ilvl w:val="0"/>
          <w:numId w:val="26"/>
        </w:numPr>
        <w:ind w:left="1080"/>
      </w:pPr>
      <w:r>
        <w:rPr>
          <w:u w:val="single"/>
        </w:rPr>
        <w:t>Souběžné nasazování s pomocí správy verzí</w:t>
      </w:r>
      <w:r>
        <w:t xml:space="preserve"> (je zahrnuta 1 licence na jednu licenci k serveru)</w:t>
      </w:r>
    </w:p>
    <w:p w:rsidR="003C4EF2" w:rsidRPr="00BA7B72" w:rsidRDefault="003C4EF2" w:rsidP="00655210">
      <w:pPr>
        <w:pStyle w:val="Heading2"/>
        <w:keepNext/>
        <w:numPr>
          <w:ilvl w:val="0"/>
          <w:numId w:val="0"/>
        </w:numPr>
        <w:ind w:left="720" w:firstLine="360"/>
      </w:pPr>
      <w:r>
        <w:rPr>
          <w:b w:val="0"/>
          <w:sz w:val="20"/>
          <w:szCs w:val="20"/>
        </w:rPr>
        <w:t>dodatečná souběžná nasazení jsou zahrnuta do nákupu těchto licencí:</w:t>
      </w:r>
    </w:p>
    <w:p w:rsidR="003C4EF2" w:rsidRPr="00BA7B72" w:rsidRDefault="003C4EF2" w:rsidP="00352D23">
      <w:pPr>
        <w:pStyle w:val="Heading2"/>
        <w:keepNext/>
        <w:numPr>
          <w:ilvl w:val="0"/>
          <w:numId w:val="0"/>
        </w:numPr>
        <w:ind w:left="1080"/>
      </w:pPr>
      <w:r>
        <w:rPr>
          <w:b w:val="0"/>
          <w:sz w:val="20"/>
          <w:szCs w:val="20"/>
        </w:rPr>
        <w:t xml:space="preserve">Odběr produktu Visual Studio Enterprise </w:t>
      </w:r>
    </w:p>
    <w:p w:rsidR="003C4EF2" w:rsidRPr="00BA7B72" w:rsidRDefault="003C4EF2" w:rsidP="00352D23">
      <w:pPr>
        <w:pStyle w:val="Heading2"/>
        <w:widowControl w:val="0"/>
        <w:numPr>
          <w:ilvl w:val="0"/>
          <w:numId w:val="0"/>
        </w:numPr>
        <w:ind w:left="1080"/>
      </w:pPr>
      <w:r>
        <w:rPr>
          <w:b w:val="0"/>
          <w:sz w:val="20"/>
          <w:szCs w:val="20"/>
        </w:rPr>
        <w:t xml:space="preserve">Visual Studio Enterprise – měsíční odběr </w:t>
      </w:r>
    </w:p>
    <w:p w:rsidR="003C4EF2" w:rsidRPr="00BA7B72" w:rsidRDefault="003C4EF2" w:rsidP="00352D23">
      <w:pPr>
        <w:pStyle w:val="Heading2"/>
        <w:widowControl w:val="0"/>
        <w:numPr>
          <w:ilvl w:val="0"/>
          <w:numId w:val="0"/>
        </w:numPr>
        <w:ind w:left="1080"/>
      </w:pPr>
      <w:r>
        <w:rPr>
          <w:b w:val="0"/>
          <w:sz w:val="20"/>
          <w:szCs w:val="20"/>
        </w:rPr>
        <w:t>Visual Studio Enterprise – roční odběr nebo</w:t>
      </w:r>
    </w:p>
    <w:p w:rsidR="003C4EF2" w:rsidRPr="00BA7B72" w:rsidRDefault="003C4EF2" w:rsidP="00352D23">
      <w:pPr>
        <w:pStyle w:val="Bullet4"/>
        <w:numPr>
          <w:ilvl w:val="0"/>
          <w:numId w:val="0"/>
        </w:numPr>
        <w:ind w:left="1080"/>
      </w:pPr>
      <w:r>
        <w:t>Soukromý kanál sestavení a vydání služeb Visual Studio Team Services</w:t>
      </w:r>
    </w:p>
    <w:p w:rsidR="009A6A09" w:rsidRPr="00BA7B72" w:rsidRDefault="009A6A09" w:rsidP="00356513">
      <w:pPr>
        <w:pStyle w:val="Heading1"/>
        <w:numPr>
          <w:ilvl w:val="0"/>
          <w:numId w:val="17"/>
        </w:numPr>
      </w:pPr>
      <w:r>
        <w:rPr>
          <w:caps/>
          <w:sz w:val="20"/>
          <w:szCs w:val="20"/>
        </w:rPr>
        <w:t>Odmítnutí záruk.</w:t>
      </w:r>
      <w:r w:rsidR="00E44086">
        <w:rPr>
          <w:caps/>
          <w:sz w:val="20"/>
          <w:szCs w:val="20"/>
        </w:rPr>
        <w:t xml:space="preserve"> </w:t>
      </w:r>
      <w:r>
        <w:rPr>
          <w:caps/>
          <w:sz w:val="20"/>
          <w:szCs w:val="20"/>
        </w:rPr>
        <w:t>ZKUŠEBNÍ VERZE A VERZE TEAM FOUNDATION SERVER EXPRESS jsou licencovány „jak stojí a leží“. Rizika související s jejich používáním nesete vy.</w:t>
      </w:r>
      <w:r w:rsidR="00E44086">
        <w:rPr>
          <w:caps/>
          <w:sz w:val="20"/>
          <w:szCs w:val="20"/>
        </w:rPr>
        <w:t xml:space="preserve"> </w:t>
      </w:r>
      <w:r>
        <w:rPr>
          <w:caps/>
          <w:sz w:val="20"/>
          <w:szCs w:val="20"/>
        </w:rPr>
        <w:t>Společnost Microsoft neposkytuje žádné výslovné záruky, garance ani podmínky.</w:t>
      </w:r>
      <w:r w:rsidR="00E44086">
        <w:rPr>
          <w:caps/>
          <w:sz w:val="20"/>
          <w:szCs w:val="20"/>
        </w:rPr>
        <w:t xml:space="preserve"> </w:t>
      </w:r>
      <w:r>
        <w:rPr>
          <w:caps/>
          <w:sz w:val="20"/>
          <w:szCs w:val="20"/>
        </w:rPr>
        <w:t>V rozsahu povoleném vašimi místními zákony společnost Microsoft vylučuje odvozené záruky prodejnosti, vhodnosti pro určitý účel a neporušení práv</w:t>
      </w:r>
      <w:r>
        <w:rPr>
          <w:sz w:val="20"/>
          <w:szCs w:val="20"/>
        </w:rPr>
        <w:t>.</w:t>
      </w:r>
    </w:p>
    <w:p w:rsidR="009A6A09" w:rsidRPr="00BA7B72" w:rsidRDefault="009A6A09" w:rsidP="00356513">
      <w:pPr>
        <w:pStyle w:val="Heading1"/>
        <w:numPr>
          <w:ilvl w:val="0"/>
          <w:numId w:val="17"/>
        </w:numPr>
      </w:pPr>
      <w:r>
        <w:rPr>
          <w:b w:val="0"/>
          <w:bCs w:val="0"/>
          <w:sz w:val="20"/>
          <w:szCs w:val="20"/>
        </w:rPr>
        <w:t>Vzhledem k tomu, že zkušební verze a software verze Team Foundation Server Express jsou poskytovány „jak stojí a leží“, nemusíme k nim poskytovat žádné služby podpory.</w:t>
      </w:r>
    </w:p>
    <w:p w:rsidR="009A6A09" w:rsidRPr="00BA7B72" w:rsidRDefault="009A6A09" w:rsidP="00356513">
      <w:pPr>
        <w:pStyle w:val="Body1"/>
        <w:numPr>
          <w:ilvl w:val="1"/>
          <w:numId w:val="19"/>
        </w:numPr>
        <w:tabs>
          <w:tab w:val="num" w:pos="720"/>
        </w:tabs>
        <w:ind w:left="720" w:hanging="360"/>
      </w:pPr>
      <w:r>
        <w:rPr>
          <w:b/>
          <w:caps/>
          <w:sz w:val="20"/>
          <w:szCs w:val="20"/>
        </w:rPr>
        <w:t>Omezení a vyloučení náhrady škody.</w:t>
      </w:r>
      <w:r w:rsidR="00E44086">
        <w:rPr>
          <w:b/>
          <w:caps/>
          <w:sz w:val="20"/>
          <w:szCs w:val="20"/>
        </w:rPr>
        <w:t xml:space="preserve"> </w:t>
      </w:r>
      <w:r>
        <w:rPr>
          <w:b/>
          <w:caps/>
          <w:sz w:val="20"/>
          <w:szCs w:val="20"/>
        </w:rPr>
        <w:t>Od společnosti Microsoft a jejích dodavatelů můžete získat pouze náhradu za přímé škody do maximální výše 5 USD.</w:t>
      </w:r>
      <w:r w:rsidR="00E44086">
        <w:rPr>
          <w:b/>
          <w:caps/>
          <w:sz w:val="20"/>
          <w:szCs w:val="20"/>
        </w:rPr>
        <w:t xml:space="preserve"> </w:t>
      </w:r>
      <w:r>
        <w:rPr>
          <w:b/>
          <w:caps/>
          <w:sz w:val="20"/>
          <w:szCs w:val="20"/>
        </w:rPr>
        <w:t>Nemáte nárok na náhradu za žádné jiné škody, včetně následných škod, ušlého zisku a zvláštních, nepřímých nebo náhodných škod.</w:t>
      </w:r>
    </w:p>
    <w:p w:rsidR="009A6A09" w:rsidRPr="00BA7B72" w:rsidRDefault="009A6A09" w:rsidP="00D86916">
      <w:pPr>
        <w:pStyle w:val="Body1"/>
        <w:ind w:left="714"/>
      </w:pPr>
      <w:r>
        <w:rPr>
          <w:sz w:val="20"/>
          <w:szCs w:val="20"/>
        </w:rPr>
        <w:t>Toto omezení se vztahuje na (a) cokoli související se zkušební verzí, službami, obsahem (včetně kódu) na webových stránkách třetích stran nebo v programech třetích stran a na (b) žaloby pro porušení smlouvy, porušení záruky, garance či podmínky, objektivní odpovědnosti, nedbalost či jiné občanskoprávní delikty v rozsahu povoleném rozhodným právem.</w:t>
      </w:r>
    </w:p>
    <w:p w:rsidR="009A6A09" w:rsidRPr="00BA7B72" w:rsidRDefault="009A6A09" w:rsidP="00ED1846">
      <w:pPr>
        <w:pStyle w:val="Body1"/>
        <w:spacing w:before="0" w:after="0"/>
        <w:ind w:left="720"/>
      </w:pPr>
      <w:r>
        <w:rPr>
          <w:sz w:val="20"/>
          <w:szCs w:val="20"/>
        </w:rPr>
        <w:t>Vztahuje se rovněž na situace, kdy společnost Microsoft věděla nebo mohla vědět o možnosti vzniku těchto škod.</w:t>
      </w:r>
      <w:r w:rsidR="00E44086">
        <w:rPr>
          <w:sz w:val="20"/>
          <w:szCs w:val="20"/>
        </w:rPr>
        <w:t xml:space="preserve"> </w:t>
      </w:r>
      <w:r>
        <w:rPr>
          <w:sz w:val="20"/>
          <w:szCs w:val="20"/>
        </w:rPr>
        <w:t>Výše uvedené omezení nebo vyloučení se na vás nemusí vztahovat v případě, že vaše země neumožňuje vyloučení nebo omezení náhodných, následných nebo jiných škod.</w:t>
      </w:r>
    </w:p>
    <w:p w:rsidR="0092772C" w:rsidRPr="00BA7B72" w:rsidRDefault="0092772C">
      <w:pPr>
        <w:spacing w:before="0" w:after="0"/>
      </w:pPr>
      <w:r>
        <w:br w:type="page"/>
      </w:r>
    </w:p>
    <w:p w:rsidR="00356513" w:rsidRPr="00BA7B72" w:rsidRDefault="003F5A99" w:rsidP="00356513">
      <w:pPr>
        <w:pStyle w:val="PreambleBorderAbove"/>
        <w:widowControl w:val="0"/>
      </w:pPr>
      <w:r>
        <w:rPr>
          <w:rFonts w:eastAsia="SimSun"/>
          <w:sz w:val="20"/>
          <w:szCs w:val="20"/>
        </w:rPr>
        <w:lastRenderedPageBreak/>
        <w:t>LICENČNÍ PODMÍNKY K PLNÉMU UŽÍVÁNÍ SOFTWARU:</w:t>
      </w:r>
      <w:r w:rsidR="00E44086">
        <w:rPr>
          <w:rFonts w:eastAsia="SimSun"/>
          <w:sz w:val="20"/>
          <w:szCs w:val="20"/>
        </w:rPr>
        <w:t xml:space="preserve"> </w:t>
      </w:r>
      <w:r>
        <w:rPr>
          <w:b w:val="0"/>
          <w:bCs w:val="0"/>
          <w:sz w:val="20"/>
          <w:szCs w:val="20"/>
        </w:rPr>
        <w:t>Když získáte příslušný software, platí podmínky plného užívání uvedené níže.</w:t>
      </w:r>
      <w:r w:rsidR="00E44086">
        <w:rPr>
          <w:b w:val="0"/>
          <w:bCs w:val="0"/>
          <w:sz w:val="20"/>
          <w:szCs w:val="20"/>
        </w:rPr>
        <w:t xml:space="preserve"> </w:t>
      </w:r>
    </w:p>
    <w:p w:rsidR="003C2DE9" w:rsidRPr="00BA7B72" w:rsidRDefault="005F7C07" w:rsidP="00356513">
      <w:pPr>
        <w:pStyle w:val="Heading1"/>
        <w:numPr>
          <w:ilvl w:val="0"/>
          <w:numId w:val="28"/>
        </w:numPr>
      </w:pPr>
      <w:r>
        <w:rPr>
          <w:sz w:val="20"/>
          <w:szCs w:val="20"/>
        </w:rPr>
        <w:t>PŘEHLED.</w:t>
      </w:r>
    </w:p>
    <w:p w:rsidR="003C2DE9" w:rsidRPr="00BA7B72" w:rsidRDefault="005F7C07" w:rsidP="004B34DD">
      <w:pPr>
        <w:pStyle w:val="Heading2"/>
        <w:tabs>
          <w:tab w:val="clear" w:pos="993"/>
        </w:tabs>
        <w:ind w:left="720" w:hanging="360"/>
      </w:pPr>
      <w:r>
        <w:t>Model licencování.</w:t>
      </w:r>
      <w:r w:rsidR="00E44086">
        <w:t xml:space="preserve"> </w:t>
      </w:r>
      <w:r>
        <w:t>Software je licencován na základě</w:t>
      </w:r>
    </w:p>
    <w:p w:rsidR="00E346DC" w:rsidRPr="00BA7B72" w:rsidRDefault="005F7C07" w:rsidP="00CC50E7">
      <w:pPr>
        <w:pStyle w:val="Bullet3"/>
        <w:ind w:left="1080" w:hanging="360"/>
      </w:pPr>
      <w:r>
        <w:rPr>
          <w:sz w:val="20"/>
          <w:szCs w:val="20"/>
        </w:rPr>
        <w:t xml:space="preserve">počtu instancí serverového softwaru, které spouštíte, a </w:t>
      </w:r>
    </w:p>
    <w:p w:rsidR="006A4C79" w:rsidRPr="00BA7B72" w:rsidRDefault="005F7C07" w:rsidP="00CC50E7">
      <w:pPr>
        <w:pStyle w:val="Bullet3"/>
        <w:ind w:left="1080" w:hanging="360"/>
      </w:pPr>
      <w:r>
        <w:rPr>
          <w:sz w:val="20"/>
          <w:szCs w:val="20"/>
        </w:rPr>
        <w:t>počtu zařízení a uživatelů přistupujících k instancím serverového softwaru.</w:t>
      </w:r>
    </w:p>
    <w:p w:rsidR="00B67FDB" w:rsidRPr="00BA7B72" w:rsidRDefault="005F7C07" w:rsidP="00CC50E7">
      <w:pPr>
        <w:pStyle w:val="Heading2"/>
        <w:tabs>
          <w:tab w:val="clear" w:pos="993"/>
          <w:tab w:val="num" w:pos="720"/>
        </w:tabs>
        <w:ind w:left="720" w:hanging="360"/>
      </w:pPr>
      <w:r>
        <w:rPr>
          <w:sz w:val="20"/>
          <w:szCs w:val="20"/>
        </w:rPr>
        <w:t xml:space="preserve">Licenční podmínky pro použití s virtuálním serverem a dalšími podobnými technologiemi. </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Instance</w:t>
      </w:r>
      <w:r>
        <w:rPr>
          <w:b w:val="0"/>
          <w:bCs w:val="0"/>
          <w:sz w:val="20"/>
          <w:szCs w:val="20"/>
        </w:rPr>
        <w:t>.</w:t>
      </w:r>
      <w:r w:rsidR="00E44086">
        <w:rPr>
          <w:b w:val="0"/>
          <w:bCs w:val="0"/>
          <w:sz w:val="20"/>
          <w:szCs w:val="20"/>
        </w:rPr>
        <w:t xml:space="preserve"> </w:t>
      </w:r>
      <w:r>
        <w:rPr>
          <w:b w:val="0"/>
          <w:bCs w:val="0"/>
          <w:sz w:val="20"/>
          <w:szCs w:val="20"/>
        </w:rPr>
        <w:t>„Instanci“ softwaru vytvoříte spuštěním nastavení nebo instalace softwaru nebo duplikováním stávající instance.</w:t>
      </w:r>
      <w:r w:rsidR="00E44086">
        <w:rPr>
          <w:b w:val="0"/>
          <w:bCs w:val="0"/>
          <w:sz w:val="20"/>
          <w:szCs w:val="20"/>
        </w:rPr>
        <w:t xml:space="preserve"> </w:t>
      </w:r>
      <w:r>
        <w:rPr>
          <w:b w:val="0"/>
          <w:bCs w:val="0"/>
          <w:sz w:val="20"/>
          <w:szCs w:val="20"/>
        </w:rPr>
        <w:t>Odkazy na software v této smlouvě zahrnují „instance“ softwaru.</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Spuštění instance</w:t>
      </w:r>
      <w:r>
        <w:rPr>
          <w:b w:val="0"/>
          <w:bCs w:val="0"/>
          <w:sz w:val="20"/>
          <w:szCs w:val="20"/>
        </w:rPr>
        <w:t>.</w:t>
      </w:r>
      <w:r w:rsidR="00E44086">
        <w:rPr>
          <w:b w:val="0"/>
          <w:bCs w:val="0"/>
          <w:sz w:val="20"/>
          <w:szCs w:val="20"/>
        </w:rPr>
        <w:t xml:space="preserve"> </w:t>
      </w:r>
      <w:r>
        <w:rPr>
          <w:b w:val="0"/>
          <w:bCs w:val="0"/>
          <w:sz w:val="20"/>
          <w:szCs w:val="20"/>
        </w:rPr>
        <w:t>„Spuštění instance“ softwaru znamená zavedení instance do paměti a spuštění jedné nebo několika jejích instrukcí.</w:t>
      </w:r>
      <w:r w:rsidR="00E44086">
        <w:rPr>
          <w:b w:val="0"/>
          <w:bCs w:val="0"/>
          <w:sz w:val="20"/>
          <w:szCs w:val="20"/>
        </w:rPr>
        <w:t xml:space="preserve"> </w:t>
      </w:r>
      <w:r>
        <w:rPr>
          <w:b w:val="0"/>
          <w:bCs w:val="0"/>
          <w:sz w:val="20"/>
          <w:szCs w:val="20"/>
        </w:rPr>
        <w:t>Instance je po spuštění považována za spuštěnou až do okamžiku, kdy je odebrána z paměti (bez ohledu na to, zda jsou spouštěny její instrukce).</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Prostředí operačního systému („OSE“)</w:t>
      </w:r>
      <w:r>
        <w:rPr>
          <w:b w:val="0"/>
          <w:bCs w:val="0"/>
          <w:sz w:val="20"/>
          <w:szCs w:val="20"/>
        </w:rPr>
        <w:t>.</w:t>
      </w:r>
      <w:r w:rsidR="00E44086">
        <w:rPr>
          <w:b w:val="0"/>
          <w:bCs w:val="0"/>
          <w:sz w:val="20"/>
          <w:szCs w:val="20"/>
        </w:rPr>
        <w:t xml:space="preserve"> </w:t>
      </w:r>
      <w:r>
        <w:rPr>
          <w:b w:val="0"/>
          <w:bCs w:val="0"/>
          <w:sz w:val="20"/>
          <w:szCs w:val="20"/>
        </w:rPr>
        <w:t xml:space="preserve">OSE </w:t>
      </w:r>
    </w:p>
    <w:p w:rsidR="00B67FDB" w:rsidRPr="00BA7B72" w:rsidRDefault="00266528" w:rsidP="00CC50E7">
      <w:pPr>
        <w:pStyle w:val="Bullet4"/>
        <w:tabs>
          <w:tab w:val="clear" w:pos="1437"/>
          <w:tab w:val="num" w:pos="1440"/>
        </w:tabs>
        <w:ind w:left="1440" w:hanging="360"/>
      </w:pPr>
      <w:r>
        <w:rPr>
          <w:sz w:val="20"/>
          <w:szCs w:val="20"/>
        </w:rPr>
        <w:t xml:space="preserve">je celá instance operačního systému nebo její součást nebo celá instance virtuálního (či jinak emulovaného) operačního systému nebo její součást, která povoluje samostatnou identitu počítače (primární jméno počítače nebo podobný jedinečný identifikátor) nebo samostatná oprávnění pro správu, a </w:t>
      </w:r>
    </w:p>
    <w:p w:rsidR="00B67FDB" w:rsidRPr="00BA7B72" w:rsidRDefault="00266528" w:rsidP="00CC50E7">
      <w:pPr>
        <w:pStyle w:val="Bullet4"/>
        <w:tabs>
          <w:tab w:val="clear" w:pos="1437"/>
          <w:tab w:val="num" w:pos="1440"/>
        </w:tabs>
        <w:ind w:left="1440" w:hanging="360"/>
      </w:pPr>
      <w:r>
        <w:rPr>
          <w:sz w:val="20"/>
          <w:szCs w:val="20"/>
        </w:rPr>
        <w:t xml:space="preserve">jsou instance aplikací, pokud existují, konfigurované ke spuštění ve výše uvedené instanci operačního systému nebo jejich součástech. </w:t>
      </w:r>
    </w:p>
    <w:p w:rsidR="00A30398" w:rsidRPr="00BA7B72" w:rsidRDefault="005F7C07" w:rsidP="00CC50E7">
      <w:pPr>
        <w:pStyle w:val="Body3"/>
        <w:tabs>
          <w:tab w:val="num" w:pos="1440"/>
        </w:tabs>
        <w:ind w:left="1440" w:hanging="360"/>
      </w:pPr>
      <w:r>
        <w:rPr>
          <w:sz w:val="20"/>
          <w:szCs w:val="20"/>
        </w:rPr>
        <w:t xml:space="preserve">Existují dva typy prostředí OSE, fyzické a virtuální. </w:t>
      </w:r>
    </w:p>
    <w:p w:rsidR="00B776DC" w:rsidRPr="00BA7B72" w:rsidRDefault="005F7C07" w:rsidP="008874DA">
      <w:pPr>
        <w:pStyle w:val="Body3"/>
        <w:tabs>
          <w:tab w:val="num" w:pos="1440"/>
        </w:tabs>
        <w:ind w:left="1080"/>
      </w:pPr>
      <w:r>
        <w:rPr>
          <w:sz w:val="20"/>
          <w:szCs w:val="20"/>
        </w:rPr>
        <w:t>„</w:t>
      </w:r>
      <w:r>
        <w:rPr>
          <w:iCs/>
          <w:sz w:val="20"/>
          <w:szCs w:val="20"/>
        </w:rPr>
        <w:t>Fyzické prostředí operačního systému“</w:t>
      </w:r>
      <w:r>
        <w:rPr>
          <w:sz w:val="20"/>
          <w:szCs w:val="20"/>
        </w:rPr>
        <w:t xml:space="preserve"> je nakonfigurováno ke spouštění přímo ve fyzickém hardwarovém systému.</w:t>
      </w:r>
      <w:r w:rsidR="00E44086">
        <w:rPr>
          <w:sz w:val="20"/>
          <w:szCs w:val="20"/>
        </w:rPr>
        <w:t xml:space="preserve"> </w:t>
      </w:r>
      <w:r>
        <w:rPr>
          <w:sz w:val="20"/>
          <w:szCs w:val="20"/>
        </w:rPr>
        <w:t>Instance operačního systému použitá ke spouštění softwaru pro virtualizaci hardwaru (např. Microsoft Virtual Server nebo podobné technologie) nebo k poskytování služeb virtualizace hardwaru (např. virtualizační technologie společnosti Microsoft) je považována za součást fyzického prostředí OSE.</w:t>
      </w:r>
      <w:r w:rsidR="00E44086">
        <w:rPr>
          <w:sz w:val="20"/>
          <w:szCs w:val="20"/>
        </w:rPr>
        <w:t xml:space="preserve"> </w:t>
      </w:r>
    </w:p>
    <w:p w:rsidR="00B776DC" w:rsidRPr="00BA7B72" w:rsidRDefault="005F7C07" w:rsidP="008874DA">
      <w:pPr>
        <w:pStyle w:val="Body3"/>
        <w:tabs>
          <w:tab w:val="num" w:pos="1440"/>
        </w:tabs>
        <w:ind w:left="1080"/>
      </w:pPr>
      <w:r>
        <w:rPr>
          <w:sz w:val="20"/>
          <w:szCs w:val="20"/>
        </w:rPr>
        <w:t>„</w:t>
      </w:r>
      <w:r>
        <w:rPr>
          <w:iCs/>
          <w:sz w:val="20"/>
          <w:szCs w:val="20"/>
        </w:rPr>
        <w:t xml:space="preserve">Virtuální prostředí OSE“ </w:t>
      </w:r>
      <w:r>
        <w:rPr>
          <w:sz w:val="20"/>
          <w:szCs w:val="20"/>
        </w:rPr>
        <w:t xml:space="preserve">je konfigurováno pro spuštění přímo v systému virtuálního hardwaru. </w:t>
      </w:r>
    </w:p>
    <w:p w:rsidR="00B67FDB" w:rsidRPr="00BA7B72" w:rsidRDefault="005F7C07" w:rsidP="00CC50E7">
      <w:pPr>
        <w:pStyle w:val="Body3"/>
        <w:tabs>
          <w:tab w:val="num" w:pos="1440"/>
        </w:tabs>
        <w:ind w:left="1440" w:hanging="360"/>
      </w:pPr>
      <w:r>
        <w:rPr>
          <w:sz w:val="20"/>
          <w:szCs w:val="20"/>
        </w:rPr>
        <w:t>Fyzický hardwarový systém může obsahovat:</w:t>
      </w:r>
    </w:p>
    <w:p w:rsidR="00B67FDB" w:rsidRPr="00BA7B72" w:rsidRDefault="005F7C07" w:rsidP="00CC50E7">
      <w:pPr>
        <w:pStyle w:val="Bullet4"/>
        <w:tabs>
          <w:tab w:val="clear" w:pos="1437"/>
          <w:tab w:val="num" w:pos="1440"/>
        </w:tabs>
        <w:ind w:left="1440" w:hanging="360"/>
      </w:pPr>
      <w:r>
        <w:rPr>
          <w:sz w:val="20"/>
          <w:szCs w:val="20"/>
        </w:rPr>
        <w:t>jedno fyzické prostředí operačního systému a</w:t>
      </w:r>
    </w:p>
    <w:p w:rsidR="00B67FDB" w:rsidRPr="00BA7B72" w:rsidRDefault="005F7C07" w:rsidP="00CC50E7">
      <w:pPr>
        <w:pStyle w:val="Bullet4"/>
        <w:tabs>
          <w:tab w:val="clear" w:pos="1437"/>
          <w:tab w:val="num" w:pos="1440"/>
        </w:tabs>
        <w:ind w:left="1440" w:hanging="360"/>
      </w:pPr>
      <w:r>
        <w:rPr>
          <w:sz w:val="20"/>
          <w:szCs w:val="20"/>
        </w:rPr>
        <w:t>nejméně jedno virtuální prostředí operačního systému.</w:t>
      </w:r>
    </w:p>
    <w:p w:rsidR="00B67FDB" w:rsidRPr="00BA7B72" w:rsidRDefault="005F7C07" w:rsidP="007E2ECA">
      <w:pPr>
        <w:pStyle w:val="Heading3Bold"/>
        <w:numPr>
          <w:ilvl w:val="2"/>
          <w:numId w:val="15"/>
        </w:numPr>
        <w:tabs>
          <w:tab w:val="clear" w:pos="1077"/>
          <w:tab w:val="num" w:pos="1080"/>
        </w:tabs>
        <w:ind w:left="1080"/>
      </w:pPr>
      <w:r>
        <w:rPr>
          <w:sz w:val="20"/>
          <w:szCs w:val="20"/>
        </w:rPr>
        <w:t>Server.</w:t>
      </w:r>
      <w:r w:rsidR="00E44086">
        <w:rPr>
          <w:sz w:val="20"/>
          <w:szCs w:val="20"/>
        </w:rPr>
        <w:t xml:space="preserve"> </w:t>
      </w:r>
      <w:r>
        <w:rPr>
          <w:b w:val="0"/>
          <w:bCs w:val="0"/>
          <w:sz w:val="20"/>
          <w:szCs w:val="20"/>
        </w:rPr>
        <w:t>Serverem je fyzický hardwarový systém schopný provozovat serverový software.</w:t>
      </w:r>
      <w:r w:rsidR="00E44086">
        <w:rPr>
          <w:b w:val="0"/>
          <w:bCs w:val="0"/>
          <w:sz w:val="20"/>
          <w:szCs w:val="20"/>
        </w:rPr>
        <w:t xml:space="preserve"> </w:t>
      </w:r>
      <w:r>
        <w:rPr>
          <w:b w:val="0"/>
          <w:bCs w:val="0"/>
          <w:sz w:val="20"/>
          <w:szCs w:val="20"/>
        </w:rPr>
        <w:t>Hardwarový oddíl nebo server blade je považován za samostatný fyzický hardwarový systém.</w:t>
      </w:r>
    </w:p>
    <w:p w:rsidR="00B67FDB" w:rsidRPr="00BA7B72" w:rsidRDefault="005F7C07" w:rsidP="007E2ECA">
      <w:pPr>
        <w:pStyle w:val="Heading3Bold"/>
        <w:numPr>
          <w:ilvl w:val="2"/>
          <w:numId w:val="15"/>
        </w:numPr>
        <w:tabs>
          <w:tab w:val="clear" w:pos="1077"/>
          <w:tab w:val="num" w:pos="1080"/>
        </w:tabs>
        <w:ind w:left="1080"/>
      </w:pPr>
      <w:r>
        <w:rPr>
          <w:sz w:val="20"/>
          <w:szCs w:val="20"/>
        </w:rPr>
        <w:t>Přiřazení licence.</w:t>
      </w:r>
      <w:r w:rsidR="00E44086">
        <w:rPr>
          <w:sz w:val="20"/>
          <w:szCs w:val="20"/>
        </w:rPr>
        <w:t xml:space="preserve"> </w:t>
      </w:r>
      <w:r>
        <w:rPr>
          <w:b w:val="0"/>
          <w:bCs w:val="0"/>
          <w:sz w:val="20"/>
          <w:szCs w:val="20"/>
        </w:rPr>
        <w:t>Přiřadit licenci znamená udělit příslušnou licenci jednomu zařízení nebo uživateli.</w:t>
      </w:r>
    </w:p>
    <w:p w:rsidR="003C2DE9" w:rsidRPr="00BA7B72" w:rsidRDefault="005F7C07" w:rsidP="00CC50E7">
      <w:pPr>
        <w:pStyle w:val="Heading1"/>
        <w:keepNext/>
        <w:ind w:left="360" w:hanging="360"/>
      </w:pPr>
      <w:r>
        <w:rPr>
          <w:sz w:val="20"/>
          <w:szCs w:val="20"/>
        </w:rPr>
        <w:t>PRÁVA K UŽÍVÁNÍ.</w:t>
      </w:r>
    </w:p>
    <w:p w:rsidR="003C2DE9" w:rsidRPr="00BA7B72" w:rsidRDefault="000D3B46" w:rsidP="00CC50E7">
      <w:pPr>
        <w:pStyle w:val="Heading2"/>
        <w:tabs>
          <w:tab w:val="clear" w:pos="993"/>
          <w:tab w:val="num" w:pos="720"/>
        </w:tabs>
        <w:ind w:left="720" w:hanging="360"/>
      </w:pPr>
      <w:r>
        <w:rPr>
          <w:sz w:val="20"/>
          <w:szCs w:val="20"/>
        </w:rPr>
        <w:t>Licencovaný server.</w:t>
      </w:r>
    </w:p>
    <w:p w:rsidR="0014406D" w:rsidRPr="00BA7B72" w:rsidRDefault="000D3B46" w:rsidP="00CC50E7">
      <w:pPr>
        <w:pStyle w:val="Heading3"/>
        <w:tabs>
          <w:tab w:val="num" w:pos="1077"/>
        </w:tabs>
      </w:pPr>
      <w:r>
        <w:rPr>
          <w:sz w:val="20"/>
          <w:szCs w:val="20"/>
        </w:rPr>
        <w:t>Licencovaný server označuje jednotlivý server, kterému je přidělena licence.</w:t>
      </w:r>
    </w:p>
    <w:p w:rsidR="003C2DE9" w:rsidRPr="00BA7B72" w:rsidRDefault="005F7C07" w:rsidP="00CC50E7">
      <w:pPr>
        <w:pStyle w:val="Heading3"/>
        <w:tabs>
          <w:tab w:val="num" w:pos="1077"/>
        </w:tabs>
      </w:pPr>
      <w:r>
        <w:rPr>
          <w:sz w:val="20"/>
          <w:szCs w:val="20"/>
        </w:rPr>
        <w:t>Přiřazení licence na softwarový server můžete změnit, nikoli však dříve než 90 dní po posledním přiřazení.</w:t>
      </w:r>
      <w:r w:rsidR="00E44086">
        <w:rPr>
          <w:sz w:val="20"/>
          <w:szCs w:val="20"/>
        </w:rPr>
        <w:t xml:space="preserve"> </w:t>
      </w:r>
      <w:r>
        <w:rPr>
          <w:sz w:val="20"/>
          <w:szCs w:val="20"/>
        </w:rPr>
        <w:t xml:space="preserve">Přiřazení licence na server smíte změnit dříve pouze v případě, že </w:t>
      </w:r>
      <w:r>
        <w:rPr>
          <w:sz w:val="20"/>
          <w:szCs w:val="20"/>
        </w:rPr>
        <w:lastRenderedPageBreak/>
        <w:t>licencovaný server přestanete používat vzhledem k trvalému selhání hardwaru.</w:t>
      </w:r>
      <w:r w:rsidR="00E44086">
        <w:rPr>
          <w:sz w:val="20"/>
          <w:szCs w:val="20"/>
        </w:rPr>
        <w:t xml:space="preserve"> </w:t>
      </w:r>
      <w:r>
        <w:rPr>
          <w:sz w:val="20"/>
          <w:szCs w:val="20"/>
        </w:rPr>
        <w:t>Pokud změníte přiřazení licence, musíte software z původního serveru odebrat.</w:t>
      </w:r>
      <w:r w:rsidR="00E44086">
        <w:rPr>
          <w:sz w:val="20"/>
          <w:szCs w:val="20"/>
        </w:rPr>
        <w:t xml:space="preserve"> </w:t>
      </w:r>
      <w:r>
        <w:rPr>
          <w:sz w:val="20"/>
          <w:szCs w:val="20"/>
        </w:rPr>
        <w:t>Server, na který licenci převádíte, se stává novým licencovaným serverem pro tuto licenci.</w:t>
      </w:r>
    </w:p>
    <w:p w:rsidR="003C2DE9" w:rsidRPr="00BA7B72" w:rsidRDefault="005F7C07" w:rsidP="00CC50E7">
      <w:pPr>
        <w:pStyle w:val="Heading2"/>
        <w:tabs>
          <w:tab w:val="clear" w:pos="993"/>
          <w:tab w:val="num" w:pos="720"/>
        </w:tabs>
        <w:ind w:left="720" w:hanging="360"/>
      </w:pPr>
      <w:r>
        <w:rPr>
          <w:sz w:val="20"/>
          <w:szCs w:val="20"/>
        </w:rPr>
        <w:t>Spuštění instancí serverového softwaru.</w:t>
      </w:r>
      <w:r w:rsidR="00E44086">
        <w:rPr>
          <w:sz w:val="20"/>
          <w:szCs w:val="20"/>
        </w:rPr>
        <w:t xml:space="preserve"> </w:t>
      </w:r>
      <w:r>
        <w:rPr>
          <w:b w:val="0"/>
          <w:bCs w:val="0"/>
          <w:sz w:val="20"/>
          <w:szCs w:val="20"/>
        </w:rPr>
        <w:t>Pro každou serverovou licenci můžete v každém okamžiku na licencovaném serveru používat jednu instanci serverového softwaru, a to buď v prostředí fyzického, nebo virtuálního operačního systému.</w:t>
      </w:r>
      <w:r w:rsidR="00E44086">
        <w:rPr>
          <w:b w:val="0"/>
          <w:bCs w:val="0"/>
          <w:sz w:val="20"/>
          <w:szCs w:val="20"/>
        </w:rPr>
        <w:t xml:space="preserve"> </w:t>
      </w:r>
    </w:p>
    <w:p w:rsidR="00EE6F16" w:rsidRPr="00BA7B72" w:rsidRDefault="005F7C07" w:rsidP="00CC50E7">
      <w:pPr>
        <w:pStyle w:val="Heading2"/>
        <w:tabs>
          <w:tab w:val="clear" w:pos="993"/>
          <w:tab w:val="num" w:pos="720"/>
        </w:tabs>
        <w:ind w:left="720" w:hanging="360"/>
      </w:pPr>
      <w:r>
        <w:rPr>
          <w:sz w:val="20"/>
          <w:szCs w:val="20"/>
        </w:rPr>
        <w:t>Spuštění instancí dalšího softwaru.</w:t>
      </w:r>
      <w:r w:rsidR="00E44086">
        <w:rPr>
          <w:sz w:val="20"/>
          <w:szCs w:val="20"/>
        </w:rPr>
        <w:t xml:space="preserve"> </w:t>
      </w:r>
      <w:r>
        <w:rPr>
          <w:b w:val="0"/>
          <w:bCs w:val="0"/>
          <w:sz w:val="20"/>
          <w:szCs w:val="20"/>
        </w:rPr>
        <w:t>Můžete kdykoli spouštět nebo jinak užívat libovolný počet instancí dalšího softwaru uvedeného dále ve fyzických nebo virtuálních prostředích operačního systému v libovolném počtu zařízení.</w:t>
      </w:r>
      <w:r w:rsidR="00E44086">
        <w:rPr>
          <w:b w:val="0"/>
          <w:bCs w:val="0"/>
          <w:sz w:val="20"/>
          <w:szCs w:val="20"/>
        </w:rPr>
        <w:t xml:space="preserve"> </w:t>
      </w:r>
      <w:r>
        <w:rPr>
          <w:b w:val="0"/>
          <w:bCs w:val="0"/>
          <w:sz w:val="20"/>
          <w:szCs w:val="20"/>
        </w:rPr>
        <w:t xml:space="preserve">Další software můžete používat pouze přímo se serverovým softwarem nebo nepřímo pomocí jiného dalšího softwaru. </w:t>
      </w:r>
    </w:p>
    <w:p w:rsidR="005912D8" w:rsidRPr="00BA7B72" w:rsidRDefault="009F27AF" w:rsidP="00356513">
      <w:pPr>
        <w:pStyle w:val="Bullet3"/>
        <w:numPr>
          <w:ilvl w:val="0"/>
          <w:numId w:val="23"/>
        </w:numPr>
      </w:pPr>
      <w:r>
        <w:rPr>
          <w:sz w:val="20"/>
          <w:szCs w:val="20"/>
        </w:rPr>
        <w:t>Služba Visual Studio Team Foundation Build Services</w:t>
      </w:r>
    </w:p>
    <w:p w:rsidR="00D769E6" w:rsidRPr="00BA7B72" w:rsidRDefault="005F7C07" w:rsidP="00057836">
      <w:pPr>
        <w:pStyle w:val="Heading2"/>
        <w:tabs>
          <w:tab w:val="clear" w:pos="993"/>
          <w:tab w:val="num" w:pos="720"/>
        </w:tabs>
        <w:ind w:left="720" w:hanging="360"/>
      </w:pPr>
      <w:r>
        <w:rPr>
          <w:sz w:val="20"/>
          <w:szCs w:val="20"/>
        </w:rPr>
        <w:t>Vytváření a ukládání instancí na serverech nebo médiích.</w:t>
      </w:r>
      <w:r w:rsidR="00E44086">
        <w:rPr>
          <w:sz w:val="20"/>
          <w:szCs w:val="20"/>
        </w:rPr>
        <w:t xml:space="preserve"> </w:t>
      </w:r>
      <w:r>
        <w:rPr>
          <w:b w:val="0"/>
          <w:bCs w:val="0"/>
          <w:sz w:val="20"/>
          <w:szCs w:val="20"/>
        </w:rPr>
        <w:t>Pro každou pořízenou licenci na software můžete vytvořit a uložit libovolný počet instancí softwaru na libovolných serverech nebo úložných médiích.</w:t>
      </w:r>
      <w:r w:rsidR="00E44086">
        <w:rPr>
          <w:b w:val="0"/>
          <w:bCs w:val="0"/>
          <w:sz w:val="20"/>
          <w:szCs w:val="20"/>
        </w:rPr>
        <w:t xml:space="preserve"> </w:t>
      </w:r>
      <w:r>
        <w:rPr>
          <w:b w:val="0"/>
          <w:bCs w:val="0"/>
          <w:sz w:val="20"/>
          <w:szCs w:val="20"/>
        </w:rPr>
        <w:t>Můžete tak učinit pouze s cílem uplatnit své právo k provozování instancí softwaru v rámci jakýchkoli licencí, jak je popsáno v příslušných užívacích právech (nesmíte například distribuovat instance třetím stranám).</w:t>
      </w:r>
    </w:p>
    <w:p w:rsidR="003C2DE9" w:rsidRPr="00BA7B72" w:rsidRDefault="005F7C07" w:rsidP="00057836">
      <w:pPr>
        <w:pStyle w:val="Heading2"/>
        <w:tabs>
          <w:tab w:val="clear" w:pos="993"/>
          <w:tab w:val="num" w:pos="720"/>
        </w:tabs>
        <w:ind w:left="720" w:hanging="360"/>
      </w:pPr>
      <w:r>
        <w:rPr>
          <w:sz w:val="20"/>
          <w:szCs w:val="20"/>
        </w:rPr>
        <w:t>Obsažené aplikace společnosti Microsoft.</w:t>
      </w:r>
      <w:r w:rsidR="00E44086">
        <w:rPr>
          <w:sz w:val="20"/>
          <w:szCs w:val="20"/>
        </w:rPr>
        <w:t xml:space="preserve"> </w:t>
      </w:r>
      <w:r>
        <w:rPr>
          <w:b w:val="0"/>
          <w:bCs w:val="0"/>
          <w:sz w:val="20"/>
          <w:szCs w:val="20"/>
        </w:rPr>
        <w:t>Software obsahuje další aplikace společnosti Microsoft.</w:t>
      </w:r>
      <w:r w:rsidR="00E44086">
        <w:rPr>
          <w:b w:val="0"/>
          <w:bCs w:val="0"/>
          <w:sz w:val="20"/>
          <w:szCs w:val="20"/>
        </w:rPr>
        <w:t xml:space="preserve"> </w:t>
      </w:r>
      <w:r>
        <w:rPr>
          <w:b w:val="0"/>
          <w:bCs w:val="0"/>
          <w:sz w:val="20"/>
          <w:szCs w:val="20"/>
        </w:rPr>
        <w:t>Tyto licenční podmínky se vztahují na vaše používání těchto aplikací, s výjimkou aplikací společnosti Microsoft uvedených v oddíle</w:t>
      </w:r>
      <w:r>
        <w:rPr>
          <w:b w:val="0"/>
          <w:sz w:val="20"/>
          <w:szCs w:val="20"/>
        </w:rPr>
        <w:t> 5</w:t>
      </w:r>
      <w:r>
        <w:rPr>
          <w:b w:val="0"/>
          <w:bCs w:val="0"/>
          <w:sz w:val="20"/>
          <w:szCs w:val="20"/>
        </w:rPr>
        <w:t>, které se řídí svými vlastními licenčními podmínkami.</w:t>
      </w:r>
    </w:p>
    <w:p w:rsidR="0082164C" w:rsidRPr="00BA7B72" w:rsidRDefault="0082164C" w:rsidP="0082164C">
      <w:pPr>
        <w:pStyle w:val="Heading2"/>
        <w:widowControl w:val="0"/>
        <w:tabs>
          <w:tab w:val="clear" w:pos="993"/>
          <w:tab w:val="num" w:pos="720"/>
          <w:tab w:val="num" w:pos="1080"/>
        </w:tabs>
        <w:ind w:left="720" w:hanging="360"/>
      </w:pPr>
      <w:r>
        <w:rPr>
          <w:rFonts w:eastAsia="SimSun"/>
          <w:sz w:val="20"/>
          <w:szCs w:val="20"/>
        </w:rPr>
        <w:t>Komponenty třetích stran.</w:t>
      </w:r>
      <w:r w:rsidR="00E44086">
        <w:rPr>
          <w:rFonts w:eastAsia="SimSun"/>
          <w:sz w:val="20"/>
          <w:szCs w:val="20"/>
        </w:rPr>
        <w:t xml:space="preserve"> </w:t>
      </w:r>
      <w:r>
        <w:rPr>
          <w:b w:val="0"/>
          <w:sz w:val="20"/>
          <w:szCs w:val="20"/>
        </w:rPr>
        <w:t>Software může zahrnovat komponenty třetích stran se samostatnými právními poučeními nebo komponenty, jejichž užívání se řídí jinými smlouvami, jak</w:t>
      </w:r>
      <w:r w:rsidR="00FB2AE0">
        <w:rPr>
          <w:b w:val="0"/>
          <w:sz w:val="20"/>
          <w:szCs w:val="20"/>
        </w:rPr>
        <w:t> </w:t>
      </w:r>
      <w:r>
        <w:rPr>
          <w:b w:val="0"/>
          <w:sz w:val="20"/>
          <w:szCs w:val="20"/>
        </w:rPr>
        <w:t>je popsáno v souborech ThirdPartyNotices připojených k softwaru. Přestože se na takové komponenty vztahují jiné smlouvy, platí vyloučení, omezení a výjimky škod níže</w:t>
      </w:r>
      <w:r>
        <w:rPr>
          <w:rFonts w:eastAsia="SimSun"/>
          <w:b w:val="0"/>
          <w:bCs w:val="0"/>
          <w:sz w:val="20"/>
          <w:szCs w:val="20"/>
        </w:rPr>
        <w:t>.</w:t>
      </w:r>
      <w:r w:rsidR="00E44086">
        <w:rPr>
          <w:rFonts w:eastAsia="SimSun"/>
          <w:b w:val="0"/>
          <w:bCs w:val="0"/>
          <w:sz w:val="20"/>
          <w:szCs w:val="20"/>
        </w:rPr>
        <w:t xml:space="preserve"> </w:t>
      </w:r>
    </w:p>
    <w:p w:rsidR="003C2DE9" w:rsidRPr="00BA7B72" w:rsidRDefault="005F7C07" w:rsidP="00057836">
      <w:pPr>
        <w:pStyle w:val="Heading1"/>
        <w:keepNext/>
        <w:ind w:left="360" w:hanging="360"/>
      </w:pPr>
      <w:r>
        <w:rPr>
          <w:sz w:val="20"/>
          <w:szCs w:val="20"/>
        </w:rPr>
        <w:t>DALŠÍ LICENČNÍ POŽADAVKY A UŽÍVACÍ PRÁVA.</w:t>
      </w:r>
    </w:p>
    <w:p w:rsidR="003C2DE9" w:rsidRPr="00BA7B72" w:rsidRDefault="005F7C07" w:rsidP="00057836">
      <w:pPr>
        <w:pStyle w:val="Heading2"/>
        <w:keepNext/>
        <w:tabs>
          <w:tab w:val="clear" w:pos="993"/>
          <w:tab w:val="num" w:pos="720"/>
        </w:tabs>
        <w:ind w:left="720" w:hanging="360"/>
      </w:pPr>
      <w:r>
        <w:rPr>
          <w:sz w:val="20"/>
          <w:szCs w:val="20"/>
        </w:rPr>
        <w:t>Licence klientského přístupu (CAL).</w:t>
      </w:r>
      <w:r w:rsidR="00E44086">
        <w:rPr>
          <w:b w:val="0"/>
          <w:sz w:val="20"/>
          <w:szCs w:val="20"/>
        </w:rPr>
        <w:t xml:space="preserve"> </w:t>
      </w:r>
      <w:r>
        <w:rPr>
          <w:b w:val="0"/>
          <w:sz w:val="20"/>
          <w:szCs w:val="20"/>
        </w:rPr>
        <w:t>Kromě výjimek popsaných v této smlouvě vyžaduje přístup k veškerému serverovému softwaru licence CAL.</w:t>
      </w:r>
      <w:r w:rsidR="00E44086">
        <w:rPr>
          <w:b w:val="0"/>
          <w:sz w:val="20"/>
          <w:szCs w:val="20"/>
        </w:rPr>
        <w:t xml:space="preserve"> </w:t>
      </w:r>
      <w:r>
        <w:rPr>
          <w:b w:val="0"/>
          <w:sz w:val="20"/>
          <w:szCs w:val="20"/>
        </w:rPr>
        <w:t>Každou licenci CAL je třeba přiřadit uživateli nebo zařízení</w:t>
      </w:r>
      <w:r>
        <w:rPr>
          <w:b w:val="0"/>
          <w:bCs w:val="0"/>
          <w:sz w:val="20"/>
          <w:szCs w:val="20"/>
        </w:rPr>
        <w:t>.</w:t>
      </w:r>
      <w:r w:rsidR="00E44086">
        <w:rPr>
          <w:b w:val="0"/>
          <w:bCs w:val="0"/>
          <w:sz w:val="20"/>
          <w:szCs w:val="20"/>
        </w:rPr>
        <w:t xml:space="preserve"> </w:t>
      </w:r>
      <w:r>
        <w:rPr>
          <w:b w:val="0"/>
          <w:bCs w:val="0"/>
          <w:sz w:val="20"/>
          <w:szCs w:val="20"/>
        </w:rPr>
        <w:t>Licence CAL nejsou vyžadovány pro:</w:t>
      </w:r>
    </w:p>
    <w:p w:rsidR="003C2DE9" w:rsidRPr="00BA7B72" w:rsidRDefault="007C46AC" w:rsidP="00057836">
      <w:pPr>
        <w:pStyle w:val="Bullet4"/>
        <w:tabs>
          <w:tab w:val="clear" w:pos="1437"/>
          <w:tab w:val="num" w:pos="1080"/>
        </w:tabs>
        <w:ind w:left="1080" w:hanging="360"/>
      </w:pPr>
      <w:r>
        <w:rPr>
          <w:sz w:val="20"/>
          <w:szCs w:val="20"/>
        </w:rPr>
        <w:t>přístup jiným licencovaným serverem, nebo</w:t>
      </w:r>
    </w:p>
    <w:p w:rsidR="00BA4FCD" w:rsidRPr="00BA7B72" w:rsidRDefault="005F7C07" w:rsidP="00057836">
      <w:pPr>
        <w:pStyle w:val="Bullet4"/>
        <w:tabs>
          <w:tab w:val="clear" w:pos="1437"/>
          <w:tab w:val="num" w:pos="1080"/>
        </w:tabs>
        <w:ind w:left="1080" w:hanging="360"/>
      </w:pPr>
      <w:r>
        <w:rPr>
          <w:sz w:val="20"/>
          <w:szCs w:val="20"/>
        </w:rPr>
        <w:t>nejvýše pro dvě zařízení nebo uživatele za účelem správy softwaru.</w:t>
      </w:r>
    </w:p>
    <w:p w:rsidR="008B728C" w:rsidRPr="00BA7B72" w:rsidRDefault="005F7C07" w:rsidP="00057836">
      <w:pPr>
        <w:pStyle w:val="Bullet4"/>
        <w:numPr>
          <w:ilvl w:val="0"/>
          <w:numId w:val="0"/>
        </w:numPr>
        <w:ind w:left="720"/>
      </w:pPr>
      <w:r>
        <w:rPr>
          <w:sz w:val="20"/>
          <w:szCs w:val="20"/>
        </w:rPr>
        <w:t>Licence CAL umožňují přístup k odpovídající verzi serverového softwaru (včetně dřívějších verzí používaných na základě práv na použití předchozí verze) nebo jeho dřívějších verzí.</w:t>
      </w:r>
      <w:r w:rsidR="00E44086">
        <w:rPr>
          <w:sz w:val="20"/>
          <w:szCs w:val="20"/>
        </w:rPr>
        <w:t xml:space="preserve"> </w:t>
      </w:r>
      <w:r>
        <w:rPr>
          <w:sz w:val="20"/>
          <w:szCs w:val="20"/>
        </w:rPr>
        <w:t>Pokud pracujete se starší verzí instancí, můžete rovněž používat licence CAL odpovídající této verzi.</w:t>
      </w:r>
    </w:p>
    <w:p w:rsidR="003C2DE9" w:rsidRPr="00BA7B72" w:rsidRDefault="00BB4843" w:rsidP="00057836">
      <w:pPr>
        <w:pStyle w:val="Bullet4"/>
        <w:numPr>
          <w:ilvl w:val="0"/>
          <w:numId w:val="0"/>
        </w:numPr>
        <w:ind w:left="720"/>
      </w:pPr>
      <w:r>
        <w:rPr>
          <w:sz w:val="20"/>
          <w:szCs w:val="20"/>
        </w:rPr>
        <w:t>Existují dva typy licencí CAL: na zařízení a na uživatele.</w:t>
      </w:r>
      <w:r w:rsidR="00E44086">
        <w:rPr>
          <w:sz w:val="20"/>
          <w:szCs w:val="20"/>
        </w:rPr>
        <w:t xml:space="preserve"> </w:t>
      </w:r>
      <w:r>
        <w:rPr>
          <w:sz w:val="20"/>
          <w:szCs w:val="20"/>
        </w:rPr>
        <w:t>Každá licence CAL na zařízení umožňuje jednomu zařízení (používanému libovolným uživatelem) přistupovat k instancím serverového softwaru na licencovaných serverech.</w:t>
      </w:r>
      <w:r w:rsidR="00E44086">
        <w:rPr>
          <w:sz w:val="20"/>
          <w:szCs w:val="20"/>
        </w:rPr>
        <w:t xml:space="preserve"> </w:t>
      </w:r>
      <w:r>
        <w:rPr>
          <w:sz w:val="20"/>
          <w:szCs w:val="20"/>
        </w:rPr>
        <w:t>Každá licence CAL na uživatele umožňuje jednomu uživateli používajícímu libovolné zařízení přistupovat k instancím serverového softwaru na licencovaných serverech.</w:t>
      </w:r>
      <w:r w:rsidR="00E44086">
        <w:rPr>
          <w:sz w:val="20"/>
          <w:szCs w:val="20"/>
        </w:rPr>
        <w:t xml:space="preserve"> </w:t>
      </w:r>
      <w:r>
        <w:rPr>
          <w:sz w:val="20"/>
          <w:szCs w:val="20"/>
        </w:rPr>
        <w:t>Smíte používat libovolnou kombinaci licencí CAL na uživatele a na zařízení. Licence CAL umožňují přístup pouze k vašemu licencovanému serveru (nikoli k serverům třetích stran).</w:t>
      </w:r>
    </w:p>
    <w:p w:rsidR="00D40637" w:rsidRPr="00BA7B72" w:rsidRDefault="00D40637" w:rsidP="00654356">
      <w:pPr>
        <w:pStyle w:val="Heading2"/>
        <w:tabs>
          <w:tab w:val="clear" w:pos="993"/>
          <w:tab w:val="num" w:pos="720"/>
        </w:tabs>
        <w:ind w:left="720" w:hanging="360"/>
      </w:pPr>
      <w:r>
        <w:rPr>
          <w:sz w:val="20"/>
          <w:szCs w:val="20"/>
        </w:rPr>
        <w:t xml:space="preserve">Původní uživatelé. </w:t>
      </w:r>
      <w:r>
        <w:rPr>
          <w:b w:val="0"/>
          <w:sz w:val="20"/>
          <w:szCs w:val="20"/>
        </w:rPr>
        <w:t>K jedné instanci serverového softwaru se smí připojit až pět uživatelů, aniž by byla vyžadována licence CAL.</w:t>
      </w:r>
      <w:r w:rsidR="00E44086">
        <w:rPr>
          <w:b w:val="0"/>
          <w:sz w:val="20"/>
          <w:szCs w:val="20"/>
        </w:rPr>
        <w:t xml:space="preserve"> </w:t>
      </w:r>
      <w:r>
        <w:rPr>
          <w:b w:val="0"/>
          <w:sz w:val="20"/>
          <w:szCs w:val="20"/>
        </w:rPr>
        <w:t>Šestý a každý další dodatečný uživatel potřebuje pro přístup k serverovému softwaru licenci CAL.</w:t>
      </w:r>
    </w:p>
    <w:p w:rsidR="0093564D" w:rsidRPr="00BA7B72" w:rsidRDefault="0002605D" w:rsidP="00654356">
      <w:pPr>
        <w:pStyle w:val="Heading2"/>
        <w:tabs>
          <w:tab w:val="clear" w:pos="993"/>
          <w:tab w:val="num" w:pos="720"/>
        </w:tabs>
        <w:ind w:left="720" w:hanging="360"/>
      </w:pPr>
      <w:r>
        <w:rPr>
          <w:sz w:val="20"/>
          <w:szCs w:val="20"/>
        </w:rPr>
        <w:t>Užití nevyžadující licenci CAL.</w:t>
      </w:r>
      <w:r w:rsidR="00E44086">
        <w:rPr>
          <w:sz w:val="20"/>
          <w:szCs w:val="20"/>
        </w:rPr>
        <w:t xml:space="preserve"> </w:t>
      </w:r>
      <w:r>
        <w:rPr>
          <w:b w:val="0"/>
          <w:sz w:val="20"/>
          <w:szCs w:val="20"/>
        </w:rPr>
        <w:t>Licence CAL není vyžadována:</w:t>
      </w:r>
    </w:p>
    <w:p w:rsidR="0093564D" w:rsidRPr="00BA7B72" w:rsidRDefault="00317891" w:rsidP="005436C2">
      <w:pPr>
        <w:pStyle w:val="Bullet4"/>
        <w:tabs>
          <w:tab w:val="clear" w:pos="1437"/>
          <w:tab w:val="num" w:pos="1080"/>
        </w:tabs>
        <w:ind w:left="1080" w:hanging="360"/>
      </w:pPr>
      <w:r>
        <w:rPr>
          <w:sz w:val="20"/>
          <w:szCs w:val="20"/>
        </w:rPr>
        <w:t>pro zobrazování, úpravy nebo zadávání pracovních položek;</w:t>
      </w:r>
    </w:p>
    <w:p w:rsidR="00317891" w:rsidRPr="00BA7B72" w:rsidRDefault="00317891" w:rsidP="005436C2">
      <w:pPr>
        <w:pStyle w:val="Bullet4"/>
        <w:tabs>
          <w:tab w:val="clear" w:pos="1437"/>
          <w:tab w:val="num" w:pos="1080"/>
        </w:tabs>
        <w:ind w:left="1080" w:hanging="360"/>
      </w:pPr>
      <w:r>
        <w:rPr>
          <w:sz w:val="20"/>
          <w:szCs w:val="20"/>
        </w:rPr>
        <w:t>pro přístup k funkci Team Foundation Server Reporting;</w:t>
      </w:r>
    </w:p>
    <w:p w:rsidR="0093564D" w:rsidRPr="00BA7B72" w:rsidRDefault="0093564D" w:rsidP="005436C2">
      <w:pPr>
        <w:pStyle w:val="Bullet4"/>
        <w:tabs>
          <w:tab w:val="clear" w:pos="1437"/>
          <w:tab w:val="num" w:pos="1080"/>
        </w:tabs>
        <w:ind w:left="1080" w:hanging="360"/>
      </w:pPr>
      <w:r>
        <w:rPr>
          <w:sz w:val="20"/>
          <w:szCs w:val="20"/>
        </w:rPr>
        <w:lastRenderedPageBreak/>
        <w:t>pro přístup ke službám Visual Studio Team Services prostřednictvím serveru proxy Team Foundation Server 2017;</w:t>
      </w:r>
    </w:p>
    <w:p w:rsidR="00907F9A" w:rsidRPr="00BA7B72" w:rsidRDefault="00317891" w:rsidP="005436C2">
      <w:pPr>
        <w:pStyle w:val="Bullet4"/>
        <w:tabs>
          <w:tab w:val="clear" w:pos="1437"/>
          <w:tab w:val="num" w:pos="1080"/>
        </w:tabs>
        <w:ind w:left="1080" w:hanging="360"/>
      </w:pPr>
      <w:r>
        <w:rPr>
          <w:sz w:val="20"/>
          <w:szCs w:val="20"/>
        </w:rPr>
        <w:t xml:space="preserve">pro poskytování souhlasů pro fáze v rámci kanálu správy verzí; </w:t>
      </w:r>
    </w:p>
    <w:p w:rsidR="003A17C4" w:rsidRPr="00BA7B72" w:rsidRDefault="009B7E14" w:rsidP="003A17C4">
      <w:pPr>
        <w:pStyle w:val="Bullet4"/>
        <w:tabs>
          <w:tab w:val="clear" w:pos="1437"/>
          <w:tab w:val="num" w:pos="1080"/>
        </w:tabs>
        <w:ind w:left="1080" w:hanging="360"/>
      </w:pPr>
      <w:r>
        <w:rPr>
          <w:sz w:val="20"/>
          <w:szCs w:val="20"/>
        </w:rPr>
        <w:t>pro přístup k produktu Visual Studio Team Foundation Server prostřednictvím připojení z fondu z jiné integrované aplikace či služby nebo</w:t>
      </w:r>
    </w:p>
    <w:p w:rsidR="009B7E14" w:rsidRPr="00BA7B72" w:rsidRDefault="003A17C4" w:rsidP="003A17C4">
      <w:pPr>
        <w:pStyle w:val="Bullet4"/>
        <w:tabs>
          <w:tab w:val="clear" w:pos="1437"/>
          <w:tab w:val="num" w:pos="1080"/>
        </w:tabs>
        <w:ind w:left="1080" w:hanging="360"/>
      </w:pPr>
      <w:r>
        <w:rPr>
          <w:sz w:val="20"/>
          <w:szCs w:val="20"/>
        </w:rPr>
        <w:t>pro vaše placené uživatele ve službách Visual Studio Team Services</w:t>
      </w:r>
    </w:p>
    <w:p w:rsidR="005774AA" w:rsidRPr="00BA7B72" w:rsidRDefault="005774AA" w:rsidP="002A52B9">
      <w:pPr>
        <w:pStyle w:val="Heading2"/>
        <w:keepNext/>
        <w:tabs>
          <w:tab w:val="clear" w:pos="993"/>
          <w:tab w:val="num" w:pos="720"/>
        </w:tabs>
        <w:ind w:left="720" w:hanging="360"/>
      </w:pPr>
      <w:r>
        <w:rPr>
          <w:sz w:val="20"/>
          <w:szCs w:val="20"/>
        </w:rPr>
        <w:t>Visual Studio Team Foundation Server Build Services.</w:t>
      </w:r>
      <w:r w:rsidR="00E44086">
        <w:rPr>
          <w:b w:val="0"/>
          <w:sz w:val="20"/>
          <w:szCs w:val="20"/>
        </w:rPr>
        <w:t xml:space="preserve"> </w:t>
      </w:r>
      <w:r>
        <w:rPr>
          <w:b w:val="0"/>
          <w:sz w:val="20"/>
          <w:szCs w:val="20"/>
        </w:rPr>
        <w:t>Máte-li alespoň jednoho licencovaného uživatele sady Visual Studio Enterprise s odběrem MSDN, Visual Studio Premium s</w:t>
      </w:r>
      <w:r w:rsidR="001C2348">
        <w:rPr>
          <w:b w:val="0"/>
          <w:sz w:val="20"/>
          <w:szCs w:val="20"/>
        </w:rPr>
        <w:t> </w:t>
      </w:r>
      <w:r>
        <w:rPr>
          <w:b w:val="0"/>
          <w:sz w:val="20"/>
          <w:szCs w:val="20"/>
        </w:rPr>
        <w:t>odběrem MSDN nebo jakékoli jejich nástupnické sady, můžete rovněž nainstalovat software Visual Studio a povolit k němu přístup. Licencovaní uživatelé a zařízení s licencí k softwaru jej pak</w:t>
      </w:r>
      <w:r w:rsidR="001C2348">
        <w:rPr>
          <w:b w:val="0"/>
          <w:sz w:val="20"/>
          <w:szCs w:val="20"/>
        </w:rPr>
        <w:t> </w:t>
      </w:r>
      <w:r>
        <w:rPr>
          <w:b w:val="0"/>
          <w:sz w:val="20"/>
          <w:szCs w:val="20"/>
        </w:rPr>
        <w:t>mohou používat jako součást služby Team Foundation Server 2017 Build Services.</w:t>
      </w:r>
    </w:p>
    <w:p w:rsidR="003C2DE9" w:rsidRPr="00BA7B72" w:rsidRDefault="005F7C07" w:rsidP="00057836">
      <w:pPr>
        <w:pStyle w:val="Heading2"/>
        <w:keepNext/>
        <w:tabs>
          <w:tab w:val="clear" w:pos="993"/>
          <w:tab w:val="num" w:pos="720"/>
        </w:tabs>
        <w:ind w:left="720" w:hanging="360"/>
      </w:pPr>
      <w:r>
        <w:rPr>
          <w:sz w:val="20"/>
          <w:szCs w:val="20"/>
        </w:rPr>
        <w:t>Změna přiřazení licencí CAL.</w:t>
      </w:r>
      <w:r w:rsidR="00E44086">
        <w:rPr>
          <w:sz w:val="20"/>
          <w:szCs w:val="20"/>
        </w:rPr>
        <w:t xml:space="preserve"> </w:t>
      </w:r>
      <w:r>
        <w:rPr>
          <w:b w:val="0"/>
          <w:bCs w:val="0"/>
          <w:sz w:val="20"/>
          <w:szCs w:val="20"/>
        </w:rPr>
        <w:t>Můžete:</w:t>
      </w:r>
    </w:p>
    <w:p w:rsidR="003C2DE9" w:rsidRPr="00BA7B72" w:rsidRDefault="005F7C07" w:rsidP="00057836">
      <w:pPr>
        <w:pStyle w:val="Bullet4"/>
        <w:tabs>
          <w:tab w:val="clear" w:pos="1437"/>
          <w:tab w:val="num" w:pos="1080"/>
        </w:tabs>
        <w:ind w:left="1080" w:hanging="360"/>
      </w:pPr>
      <w:r>
        <w:rPr>
          <w:sz w:val="20"/>
          <w:szCs w:val="20"/>
        </w:rPr>
        <w:t>trvale změnit přiřazení licence CAL na zařízení z jednoho zařízení na druhé nebo licence CAL na uživatele z jednoho uživatele na druhého nebo</w:t>
      </w:r>
    </w:p>
    <w:p w:rsidR="003C2DE9" w:rsidRPr="00BA7B72" w:rsidRDefault="005F7C07" w:rsidP="00057836">
      <w:pPr>
        <w:pStyle w:val="Bullet4"/>
        <w:tabs>
          <w:tab w:val="clear" w:pos="1437"/>
          <w:tab w:val="num" w:pos="1080"/>
        </w:tabs>
        <w:ind w:left="1080" w:hanging="360"/>
      </w:pPr>
      <w:r>
        <w:rPr>
          <w:sz w:val="20"/>
          <w:szCs w:val="20"/>
        </w:rPr>
        <w:t>dočasně (krátkodobě) změnit přiřazení licence CAL zařízení z jednoho zařízení na druhé za účelem pokrytí nedostupnosti zařízení, které je mimo provoz, nebo licence CAL uživatele z jednoho uživatele na druhého za účelem pokrytí absence uživatele.</w:t>
      </w:r>
      <w:r w:rsidR="00E44086">
        <w:rPr>
          <w:sz w:val="20"/>
          <w:szCs w:val="20"/>
        </w:rPr>
        <w:t xml:space="preserve"> </w:t>
      </w:r>
      <w:r>
        <w:rPr>
          <w:sz w:val="20"/>
          <w:szCs w:val="20"/>
        </w:rPr>
        <w:t>Přestože je pro licence CAL povolena dočasná, krátkodobá změna přiřazení, změna přiřazení těchto licencí za jakýmkoli jiným účelem nebo z jiného časového hlediska musí být trvalá.</w:t>
      </w:r>
      <w:r w:rsidR="00E44086">
        <w:rPr>
          <w:sz w:val="20"/>
          <w:szCs w:val="20"/>
        </w:rPr>
        <w:t xml:space="preserve"> </w:t>
      </w:r>
      <w:r>
        <w:rPr>
          <w:sz w:val="20"/>
          <w:szCs w:val="20"/>
        </w:rPr>
        <w:t>To znamená, že pokud změníte přiřazení licence ze zařízení A na zařízení B, nesmíte přiřazení dané licence změnit ze zařízení B zpět na zařízení A [s výjimkou případů povolených jako dočasná změna přiřazení].</w:t>
      </w:r>
    </w:p>
    <w:p w:rsidR="00D53580" w:rsidRPr="00BA7B72" w:rsidRDefault="00E078FC" w:rsidP="00D53580">
      <w:pPr>
        <w:pStyle w:val="Heading2"/>
        <w:keepNext/>
        <w:tabs>
          <w:tab w:val="clear" w:pos="993"/>
          <w:tab w:val="num" w:pos="720"/>
        </w:tabs>
        <w:ind w:left="720" w:hanging="360"/>
      </w:pPr>
      <w:bookmarkStart w:id="1" w:name="_Hlk493857328"/>
      <w:bookmarkStart w:id="2" w:name="_Ref324604863"/>
      <w:r>
        <w:rPr>
          <w:sz w:val="20"/>
          <w:szCs w:val="20"/>
        </w:rPr>
        <w:t>Vyžadované další licence.</w:t>
      </w:r>
      <w:r w:rsidR="00E44086">
        <w:rPr>
          <w:sz w:val="20"/>
          <w:szCs w:val="20"/>
        </w:rPr>
        <w:t xml:space="preserve"> </w:t>
      </w:r>
      <w:r>
        <w:rPr>
          <w:b w:val="0"/>
          <w:sz w:val="20"/>
          <w:szCs w:val="20"/>
        </w:rPr>
        <w:t>K využívání funkcí softwaru, správě testování, správě balíčků nebo</w:t>
      </w:r>
      <w:r w:rsidR="001C2348">
        <w:rPr>
          <w:b w:val="0"/>
          <w:sz w:val="20"/>
          <w:szCs w:val="20"/>
        </w:rPr>
        <w:t> </w:t>
      </w:r>
      <w:r>
        <w:rPr>
          <w:b w:val="0"/>
          <w:sz w:val="20"/>
          <w:szCs w:val="20"/>
        </w:rPr>
        <w:t>souběžnému nasazování v rámci správy verzí musí být uživatel držitelem licence pro jeden z uvedených odběrů, a to následujícím způsobem:</w:t>
      </w:r>
    </w:p>
    <w:p w:rsidR="00286990" w:rsidRPr="00BA7B72" w:rsidRDefault="00A862E3" w:rsidP="006A68F8">
      <w:pPr>
        <w:pStyle w:val="Bullet4"/>
        <w:tabs>
          <w:tab w:val="clear" w:pos="1437"/>
          <w:tab w:val="num" w:pos="1080"/>
        </w:tabs>
        <w:ind w:left="1080" w:hanging="360"/>
      </w:pPr>
      <w:r>
        <w:rPr>
          <w:sz w:val="20"/>
          <w:szCs w:val="20"/>
          <w:u w:val="single"/>
        </w:rPr>
        <w:t>Správa testování</w:t>
      </w:r>
    </w:p>
    <w:bookmarkEnd w:id="1"/>
    <w:p w:rsidR="00A22FCC" w:rsidRPr="00BA7B72" w:rsidRDefault="00E078FC" w:rsidP="00345753">
      <w:pPr>
        <w:pStyle w:val="Heading2"/>
        <w:widowControl w:val="0"/>
        <w:numPr>
          <w:ilvl w:val="0"/>
          <w:numId w:val="0"/>
        </w:numPr>
        <w:ind w:left="1080"/>
      </w:pPr>
      <w:r>
        <w:rPr>
          <w:b w:val="0"/>
          <w:sz w:val="20"/>
          <w:szCs w:val="20"/>
        </w:rPr>
        <w:t xml:space="preserve">Odběr produktu Visual Studio Enterprise </w:t>
      </w:r>
    </w:p>
    <w:p w:rsidR="00A22FCC" w:rsidRPr="00BA7B72" w:rsidRDefault="00C31D7A" w:rsidP="00345753">
      <w:pPr>
        <w:pStyle w:val="Heading2"/>
        <w:widowControl w:val="0"/>
        <w:numPr>
          <w:ilvl w:val="0"/>
          <w:numId w:val="0"/>
        </w:numPr>
        <w:ind w:left="1080"/>
      </w:pPr>
      <w:r>
        <w:rPr>
          <w:b w:val="0"/>
          <w:sz w:val="20"/>
          <w:szCs w:val="20"/>
        </w:rPr>
        <w:t xml:space="preserve">Visual Studio Enterprise – měsíční odběr </w:t>
      </w:r>
    </w:p>
    <w:p w:rsidR="00A22FCC" w:rsidRPr="00BA7B72" w:rsidRDefault="00C31D7A" w:rsidP="00345753">
      <w:pPr>
        <w:pStyle w:val="Heading2"/>
        <w:widowControl w:val="0"/>
        <w:numPr>
          <w:ilvl w:val="0"/>
          <w:numId w:val="0"/>
        </w:numPr>
        <w:ind w:left="1080"/>
      </w:pPr>
      <w:r>
        <w:rPr>
          <w:b w:val="0"/>
          <w:sz w:val="20"/>
          <w:szCs w:val="20"/>
        </w:rPr>
        <w:t>Visual Studio Enterprise – roční odběr</w:t>
      </w:r>
      <w:r w:rsidR="00E44086">
        <w:rPr>
          <w:b w:val="0"/>
          <w:sz w:val="20"/>
          <w:szCs w:val="20"/>
        </w:rPr>
        <w:t xml:space="preserve"> </w:t>
      </w:r>
    </w:p>
    <w:p w:rsidR="00A22FCC" w:rsidRPr="00BA7B72" w:rsidRDefault="009617CD" w:rsidP="00345753">
      <w:pPr>
        <w:pStyle w:val="Heading2"/>
        <w:widowControl w:val="0"/>
        <w:numPr>
          <w:ilvl w:val="0"/>
          <w:numId w:val="0"/>
        </w:numPr>
        <w:ind w:left="1080"/>
      </w:pPr>
      <w:r>
        <w:rPr>
          <w:b w:val="0"/>
          <w:sz w:val="20"/>
          <w:szCs w:val="20"/>
        </w:rPr>
        <w:t>Platformy MSDN</w:t>
      </w:r>
      <w:bookmarkEnd w:id="2"/>
      <w:r>
        <w:rPr>
          <w:b w:val="0"/>
          <w:sz w:val="20"/>
          <w:szCs w:val="20"/>
        </w:rPr>
        <w:t xml:space="preserve"> nebo</w:t>
      </w:r>
    </w:p>
    <w:p w:rsidR="00753122" w:rsidRPr="00BA7B72" w:rsidRDefault="003C4EF2" w:rsidP="00345753">
      <w:pPr>
        <w:pStyle w:val="Heading2"/>
        <w:widowControl w:val="0"/>
        <w:numPr>
          <w:ilvl w:val="0"/>
          <w:numId w:val="0"/>
        </w:numPr>
        <w:ind w:left="1080"/>
      </w:pPr>
      <w:r>
        <w:rPr>
          <w:b w:val="0"/>
          <w:sz w:val="20"/>
          <w:szCs w:val="20"/>
        </w:rPr>
        <w:t>Placený plán pro správce testování služeb Visual Studio Team Services</w:t>
      </w:r>
    </w:p>
    <w:p w:rsidR="00E92217" w:rsidRPr="00BA7B72" w:rsidRDefault="00E92217" w:rsidP="00E92217">
      <w:pPr>
        <w:pStyle w:val="Bullet4"/>
        <w:tabs>
          <w:tab w:val="clear" w:pos="1437"/>
          <w:tab w:val="num" w:pos="1080"/>
        </w:tabs>
        <w:ind w:left="1080" w:hanging="360"/>
      </w:pPr>
      <w:r>
        <w:rPr>
          <w:sz w:val="20"/>
          <w:szCs w:val="20"/>
          <w:u w:val="single"/>
        </w:rPr>
        <w:t>Správa balíčků</w:t>
      </w:r>
    </w:p>
    <w:p w:rsidR="00E92217" w:rsidRPr="00BA7B72" w:rsidRDefault="00E92217" w:rsidP="00655210">
      <w:pPr>
        <w:pStyle w:val="Heading2"/>
        <w:widowControl w:val="0"/>
        <w:numPr>
          <w:ilvl w:val="0"/>
          <w:numId w:val="0"/>
        </w:numPr>
        <w:ind w:left="1080"/>
      </w:pPr>
      <w:r>
        <w:rPr>
          <w:b w:val="0"/>
          <w:sz w:val="20"/>
          <w:szCs w:val="20"/>
        </w:rPr>
        <w:t xml:space="preserve">Odběr produktu Visual Studio Enterprise </w:t>
      </w:r>
    </w:p>
    <w:p w:rsidR="00E92217" w:rsidRPr="00BA7B72" w:rsidRDefault="00E92217" w:rsidP="00655210">
      <w:pPr>
        <w:pStyle w:val="Heading2"/>
        <w:widowControl w:val="0"/>
        <w:numPr>
          <w:ilvl w:val="0"/>
          <w:numId w:val="0"/>
        </w:numPr>
        <w:ind w:left="1080"/>
      </w:pPr>
      <w:r>
        <w:rPr>
          <w:b w:val="0"/>
          <w:sz w:val="20"/>
          <w:szCs w:val="20"/>
        </w:rPr>
        <w:t xml:space="preserve">Visual Studio Enterprise – měsíční odběr </w:t>
      </w:r>
    </w:p>
    <w:p w:rsidR="00E92217" w:rsidRPr="00BA7B72" w:rsidRDefault="00E92217" w:rsidP="00655210">
      <w:pPr>
        <w:pStyle w:val="Heading2"/>
        <w:widowControl w:val="0"/>
        <w:numPr>
          <w:ilvl w:val="0"/>
          <w:numId w:val="0"/>
        </w:numPr>
        <w:ind w:left="1080"/>
      </w:pPr>
      <w:r>
        <w:rPr>
          <w:b w:val="0"/>
          <w:sz w:val="20"/>
          <w:szCs w:val="20"/>
        </w:rPr>
        <w:t xml:space="preserve">Visual Studio Enterprise – roční odběr nebo </w:t>
      </w:r>
    </w:p>
    <w:p w:rsidR="00E92217" w:rsidRPr="00BA7B72" w:rsidRDefault="003C4EF2" w:rsidP="00655210">
      <w:pPr>
        <w:pStyle w:val="Heading2"/>
        <w:widowControl w:val="0"/>
        <w:numPr>
          <w:ilvl w:val="0"/>
          <w:numId w:val="0"/>
        </w:numPr>
        <w:ind w:left="1080"/>
      </w:pPr>
      <w:r>
        <w:rPr>
          <w:b w:val="0"/>
          <w:sz w:val="20"/>
          <w:szCs w:val="20"/>
        </w:rPr>
        <w:t>Placený plán pro správu balíčků služeb Visual Studio Team Services</w:t>
      </w:r>
    </w:p>
    <w:p w:rsidR="0027754A" w:rsidRPr="00BA7B72" w:rsidRDefault="0027754A" w:rsidP="0019394B">
      <w:pPr>
        <w:pStyle w:val="Bullet4"/>
        <w:numPr>
          <w:ilvl w:val="0"/>
          <w:numId w:val="26"/>
        </w:numPr>
        <w:ind w:left="1080"/>
      </w:pPr>
      <w:r>
        <w:rPr>
          <w:u w:val="single"/>
        </w:rPr>
        <w:t>Souběžné nasazování s pomocí správy verzí</w:t>
      </w:r>
      <w:r>
        <w:t xml:space="preserve"> (</w:t>
      </w:r>
      <w:bookmarkStart w:id="3" w:name="_Hlk493857654"/>
      <w:r>
        <w:t>je zahrnuta 1 licence na jednu licenci k serveru</w:t>
      </w:r>
      <w:bookmarkEnd w:id="3"/>
      <w:r>
        <w:t>)</w:t>
      </w:r>
    </w:p>
    <w:p w:rsidR="0027754A" w:rsidRPr="00BA7B72" w:rsidRDefault="00E92217" w:rsidP="00655210">
      <w:pPr>
        <w:pStyle w:val="Heading2"/>
        <w:keepNext/>
        <w:numPr>
          <w:ilvl w:val="0"/>
          <w:numId w:val="0"/>
        </w:numPr>
        <w:ind w:left="720" w:firstLine="360"/>
      </w:pPr>
      <w:r>
        <w:rPr>
          <w:b w:val="0"/>
          <w:sz w:val="20"/>
          <w:szCs w:val="20"/>
        </w:rPr>
        <w:t>dodatečná souběžná nasazení jsou zahrnuta do nákupu těchto licencí:</w:t>
      </w:r>
    </w:p>
    <w:p w:rsidR="00E92217" w:rsidRPr="00BA7B72" w:rsidRDefault="0027754A" w:rsidP="00352D23">
      <w:pPr>
        <w:pStyle w:val="Heading2"/>
        <w:keepNext/>
        <w:numPr>
          <w:ilvl w:val="0"/>
          <w:numId w:val="0"/>
        </w:numPr>
        <w:ind w:left="1080"/>
      </w:pPr>
      <w:r>
        <w:rPr>
          <w:b w:val="0"/>
          <w:sz w:val="20"/>
          <w:szCs w:val="20"/>
        </w:rPr>
        <w:t xml:space="preserve">Odběr produktu Visual Studio Enterprise </w:t>
      </w:r>
    </w:p>
    <w:p w:rsidR="00E92217" w:rsidRPr="00BA7B72" w:rsidRDefault="00E92217" w:rsidP="00352D23">
      <w:pPr>
        <w:pStyle w:val="Heading2"/>
        <w:widowControl w:val="0"/>
        <w:numPr>
          <w:ilvl w:val="0"/>
          <w:numId w:val="0"/>
        </w:numPr>
        <w:ind w:left="1080"/>
      </w:pPr>
      <w:r>
        <w:rPr>
          <w:b w:val="0"/>
          <w:sz w:val="20"/>
          <w:szCs w:val="20"/>
        </w:rPr>
        <w:t xml:space="preserve">Visual Studio Enterprise – měsíční odběr </w:t>
      </w:r>
    </w:p>
    <w:p w:rsidR="0027754A" w:rsidRPr="00BA7B72" w:rsidRDefault="00E92217" w:rsidP="00352D23">
      <w:pPr>
        <w:pStyle w:val="Heading2"/>
        <w:widowControl w:val="0"/>
        <w:numPr>
          <w:ilvl w:val="0"/>
          <w:numId w:val="0"/>
        </w:numPr>
        <w:ind w:left="1080"/>
      </w:pPr>
      <w:r>
        <w:rPr>
          <w:b w:val="0"/>
          <w:sz w:val="20"/>
          <w:szCs w:val="20"/>
        </w:rPr>
        <w:t>Visual Studio Enterprise – roční odběr nebo</w:t>
      </w:r>
    </w:p>
    <w:p w:rsidR="0052193C" w:rsidRPr="00BA7B72" w:rsidRDefault="0027754A" w:rsidP="00E50CA2">
      <w:pPr>
        <w:ind w:left="360" w:firstLine="720"/>
      </w:pPr>
      <w:r>
        <w:lastRenderedPageBreak/>
        <w:t>Soukromý kanál sestavení a vydání služeb Visual Studio Team Services</w:t>
      </w:r>
    </w:p>
    <w:p w:rsidR="00FE0F5D" w:rsidRPr="00BA7B72" w:rsidRDefault="00FE0F5D" w:rsidP="00FE0F5D"/>
    <w:p w:rsidR="00923842" w:rsidRPr="00BA7B72" w:rsidRDefault="005F7C07" w:rsidP="00E50CA2">
      <w:pPr>
        <w:pStyle w:val="Heading2"/>
        <w:keepNext/>
        <w:tabs>
          <w:tab w:val="clear" w:pos="993"/>
          <w:tab w:val="num" w:pos="720"/>
        </w:tabs>
        <w:spacing w:before="0" w:after="0"/>
        <w:ind w:left="720" w:hanging="360"/>
      </w:pPr>
      <w:r>
        <w:rPr>
          <w:sz w:val="20"/>
          <w:szCs w:val="20"/>
        </w:rPr>
        <w:t>Multiplexování.</w:t>
      </w:r>
      <w:r w:rsidR="00E44086">
        <w:rPr>
          <w:sz w:val="20"/>
          <w:szCs w:val="20"/>
        </w:rPr>
        <w:t xml:space="preserve"> </w:t>
      </w:r>
      <w:r>
        <w:rPr>
          <w:b w:val="0"/>
          <w:sz w:val="20"/>
          <w:szCs w:val="20"/>
        </w:rPr>
        <w:t>Multiplexování nebo sdružování pro omezení přímých spojení se softwarem nesnižuje počet požadovaných licencí CAL.</w:t>
      </w:r>
    </w:p>
    <w:p w:rsidR="003C2DE9" w:rsidRPr="00BA7B72" w:rsidRDefault="005F7C07" w:rsidP="00057836">
      <w:pPr>
        <w:pStyle w:val="Heading2"/>
        <w:keepNext/>
        <w:tabs>
          <w:tab w:val="clear" w:pos="993"/>
          <w:tab w:val="num" w:pos="720"/>
        </w:tabs>
        <w:ind w:left="720" w:hanging="360"/>
      </w:pPr>
      <w:r>
        <w:rPr>
          <w:sz w:val="20"/>
          <w:szCs w:val="20"/>
        </w:rPr>
        <w:t>Zákaz rozdělení serverového softwaru.</w:t>
      </w:r>
      <w:r w:rsidR="00E44086">
        <w:rPr>
          <w:sz w:val="20"/>
          <w:szCs w:val="20"/>
        </w:rPr>
        <w:t xml:space="preserve"> </w:t>
      </w:r>
      <w:r>
        <w:rPr>
          <w:b w:val="0"/>
          <w:bCs w:val="0"/>
          <w:sz w:val="20"/>
          <w:szCs w:val="20"/>
        </w:rPr>
        <w:t>Serverový software nesmíte oddělit pro použití ve více než jednom prostředí operačního systému v rámci jedné licence, není-li to výslovně povoleno.</w:t>
      </w:r>
      <w:r w:rsidR="00E44086">
        <w:rPr>
          <w:b w:val="0"/>
          <w:bCs w:val="0"/>
          <w:sz w:val="20"/>
          <w:szCs w:val="20"/>
        </w:rPr>
        <w:t xml:space="preserve"> </w:t>
      </w:r>
      <w:r>
        <w:rPr>
          <w:b w:val="0"/>
          <w:bCs w:val="0"/>
          <w:sz w:val="20"/>
          <w:szCs w:val="20"/>
        </w:rPr>
        <w:t>To se vztahuje i na situace, kdy jsou v rámci jednoho fyzického hardwarového systému k dispozici různá prostředí operačního systému.</w:t>
      </w:r>
    </w:p>
    <w:p w:rsidR="003C2DE9" w:rsidRPr="00BA7B72" w:rsidRDefault="005F7C07" w:rsidP="00057836">
      <w:pPr>
        <w:pStyle w:val="Heading2"/>
        <w:tabs>
          <w:tab w:val="clear" w:pos="993"/>
          <w:tab w:val="num" w:pos="720"/>
        </w:tabs>
        <w:ind w:left="720" w:hanging="360"/>
      </w:pPr>
      <w:r>
        <w:rPr>
          <w:sz w:val="20"/>
          <w:szCs w:val="20"/>
        </w:rPr>
        <w:t>Další funkce.</w:t>
      </w:r>
      <w:r w:rsidR="00E44086">
        <w:rPr>
          <w:sz w:val="20"/>
          <w:szCs w:val="20"/>
        </w:rPr>
        <w:t xml:space="preserve"> </w:t>
      </w:r>
      <w:r>
        <w:rPr>
          <w:b w:val="0"/>
          <w:bCs w:val="0"/>
          <w:sz w:val="20"/>
          <w:szCs w:val="20"/>
        </w:rPr>
        <w:t>Společnost Microsoft může poskytovat další funkce pro software.</w:t>
      </w:r>
      <w:r w:rsidR="00E44086">
        <w:rPr>
          <w:b w:val="0"/>
          <w:bCs w:val="0"/>
          <w:sz w:val="20"/>
          <w:szCs w:val="20"/>
        </w:rPr>
        <w:t xml:space="preserve"> </w:t>
      </w:r>
      <w:r>
        <w:rPr>
          <w:b w:val="0"/>
          <w:bCs w:val="0"/>
          <w:sz w:val="20"/>
          <w:szCs w:val="20"/>
        </w:rPr>
        <w:t>Mohou se na ně vztahovat další licenční podmínky či poplatky.</w:t>
      </w:r>
    </w:p>
    <w:p w:rsidR="00666209" w:rsidRPr="000F395D" w:rsidRDefault="001E4979" w:rsidP="006468E6">
      <w:pPr>
        <w:pStyle w:val="Heading1"/>
        <w:keepNext/>
        <w:widowControl w:val="0"/>
        <w:ind w:left="360" w:hanging="360"/>
        <w:rPr>
          <w:sz w:val="20"/>
          <w:szCs w:val="20"/>
        </w:rPr>
      </w:pPr>
      <w:r w:rsidRPr="000F395D">
        <w:rPr>
          <w:sz w:val="20"/>
          <w:szCs w:val="20"/>
        </w:rPr>
        <w:t>DATA.</w:t>
      </w:r>
      <w:r w:rsidR="00E44086" w:rsidRPr="000F395D">
        <w:rPr>
          <w:sz w:val="20"/>
          <w:szCs w:val="20"/>
        </w:rPr>
        <w:t xml:space="preserve"> </w:t>
      </w:r>
      <w:r w:rsidRPr="000F395D">
        <w:rPr>
          <w:rFonts w:eastAsia="SimSun"/>
          <w:b w:val="0"/>
          <w:sz w:val="20"/>
          <w:szCs w:val="20"/>
        </w:rPr>
        <w:t>Software může shromažďovat informace o vás a používání softwaru a odesílat je společnosti Microsoft. Společnost Microsoft může tyto informace použít k poskytování služeb a zlepšování svých produktů a služeb. K některým z těchto scénářů se nemusíte přihlásit, jak je popsáno v dokumentaci produktu.</w:t>
      </w:r>
      <w:r w:rsidR="00E44086" w:rsidRPr="000F395D">
        <w:rPr>
          <w:rFonts w:eastAsia="SimSun"/>
          <w:b w:val="0"/>
          <w:sz w:val="20"/>
          <w:szCs w:val="20"/>
        </w:rPr>
        <w:t xml:space="preserve"> </w:t>
      </w:r>
      <w:r w:rsidRPr="000F395D">
        <w:rPr>
          <w:b w:val="0"/>
          <w:sz w:val="20"/>
          <w:szCs w:val="20"/>
        </w:rPr>
        <w:t>Některé fun</w:t>
      </w:r>
      <w:r w:rsidRPr="000F395D">
        <w:rPr>
          <w:b w:val="0"/>
          <w:color w:val="000000"/>
          <w:sz w:val="20"/>
          <w:szCs w:val="20"/>
        </w:rPr>
        <w:t>kce v softwaru mohou vám a společnosti Microsoft povolovat shromažďování dat od uživatelů vašich aplikací</w:t>
      </w:r>
      <w:r w:rsidRPr="000F395D">
        <w:rPr>
          <w:rFonts w:eastAsia="SimSun"/>
          <w:b w:val="0"/>
          <w:sz w:val="20"/>
          <w:szCs w:val="20"/>
        </w:rPr>
        <w:t xml:space="preserve">. Při užívání těchto funkcí musíte dodržovat příslušné zákony, včetně poskytování příslušných sdělení uživatelům vašich aplikací, a měli byste svým uživatelům poskytnout kopii našeho prohlášení o ochraně osobních údajů. Prohlášení společnosti Microsoft o ochraně osobních údajů je umístěno zde: </w:t>
      </w:r>
      <w:hyperlink r:id="rId9" w:history="1">
        <w:r w:rsidRPr="000F395D">
          <w:rPr>
            <w:rStyle w:val="Hyperlink"/>
            <w:b w:val="0"/>
            <w:sz w:val="20"/>
            <w:szCs w:val="20"/>
          </w:rPr>
          <w:t>https://go.microsoft.com/fwlink/?LinkId=398505</w:t>
        </w:r>
      </w:hyperlink>
      <w:r w:rsidRPr="000F395D">
        <w:rPr>
          <w:rFonts w:eastAsia="SimSun"/>
          <w:b w:val="0"/>
          <w:sz w:val="20"/>
          <w:szCs w:val="20"/>
        </w:rPr>
        <w:t>. Další informace o sběru a užívání dat naleznete v dokumentaci k nápovědě a v našem prohlášení o ochraně osobních údajů</w:t>
      </w:r>
      <w:r w:rsidRPr="000F395D">
        <w:rPr>
          <w:b w:val="0"/>
          <w:bCs w:val="0"/>
          <w:sz w:val="20"/>
          <w:szCs w:val="20"/>
        </w:rPr>
        <w:t xml:space="preserve">. </w:t>
      </w:r>
      <w:r w:rsidRPr="000F395D">
        <w:rPr>
          <w:rFonts w:eastAsia="SimSun"/>
          <w:b w:val="0"/>
          <w:sz w:val="20"/>
          <w:szCs w:val="20"/>
        </w:rPr>
        <w:t>Použitím tohoto softwaru vyjadřujete svůj souhlas s těmito postupy.</w:t>
      </w:r>
    </w:p>
    <w:p w:rsidR="00BC387F" w:rsidRPr="00BA7B72" w:rsidRDefault="00BC387F" w:rsidP="00057836">
      <w:pPr>
        <w:pStyle w:val="Heading1"/>
      </w:pPr>
      <w:bookmarkStart w:id="4" w:name="_Ref324605389"/>
      <w:r>
        <w:rPr>
          <w:sz w:val="20"/>
          <w:szCs w:val="20"/>
        </w:rPr>
        <w:t>DALŠÍ PRODUKTY SPOLEČNOSTI MICROSOFT</w:t>
      </w:r>
      <w:bookmarkEnd w:id="4"/>
    </w:p>
    <w:p w:rsidR="00606AF2" w:rsidRPr="00BA7B72" w:rsidRDefault="00AA3347" w:rsidP="00E05C3A">
      <w:pPr>
        <w:pStyle w:val="Heading2"/>
        <w:tabs>
          <w:tab w:val="clear" w:pos="993"/>
          <w:tab w:val="num" w:pos="720"/>
        </w:tabs>
        <w:ind w:left="720" w:hanging="360"/>
      </w:pPr>
      <w:r>
        <w:rPr>
          <w:sz w:val="20"/>
          <w:szCs w:val="20"/>
        </w:rPr>
        <w:t>Platformy společnosti Microsoft.</w:t>
      </w:r>
      <w:r>
        <w:rPr>
          <w:b w:val="0"/>
          <w:sz w:val="20"/>
          <w:szCs w:val="20"/>
        </w:rPr>
        <w:t xml:space="preserve"> Software může obsahovat součásti z platforem Microsoft Windows; Microsoft Windows Server; Microsoft SQL Server; Microsoft Exchange; Microsoft Office a Microsoft SharePoint. Užívání těchto komponent se řídí samostatnými smlouvami a jejich vlastními zásadami produktové podpory popsanými ve složce</w:t>
      </w:r>
      <w:r w:rsidR="00E44086">
        <w:rPr>
          <w:b w:val="0"/>
          <w:color w:val="002060"/>
          <w:sz w:val="20"/>
          <w:szCs w:val="20"/>
        </w:rPr>
        <w:t xml:space="preserve"> </w:t>
      </w:r>
      <w:r>
        <w:rPr>
          <w:b w:val="0"/>
          <w:sz w:val="20"/>
          <w:szCs w:val="20"/>
        </w:rPr>
        <w:t>„Licenses</w:t>
      </w:r>
      <w:r w:rsidR="00E05C3A">
        <w:rPr>
          <w:b w:val="0"/>
          <w:sz w:val="20"/>
          <w:szCs w:val="20"/>
        </w:rPr>
        <w:t>“</w:t>
      </w:r>
      <w:r>
        <w:rPr>
          <w:b w:val="0"/>
          <w:sz w:val="20"/>
          <w:szCs w:val="20"/>
        </w:rPr>
        <w:t xml:space="preserve"> (licence) společnosti Microsoft umístěné u softwaru, s výjimkou případů, kdy jsou licenční podmínky pro tyto komponenty umístěné také v přidruženém instalačním adresáři a kdy platí tyto licenční podmínky.</w:t>
      </w:r>
      <w:r w:rsidR="00E44086">
        <w:rPr>
          <w:b w:val="0"/>
          <w:sz w:val="20"/>
          <w:szCs w:val="20"/>
        </w:rPr>
        <w:t xml:space="preserve"> </w:t>
      </w:r>
    </w:p>
    <w:p w:rsidR="00F666CE" w:rsidRPr="00BA7B72" w:rsidRDefault="00F666CE" w:rsidP="00E05C3A">
      <w:pPr>
        <w:pStyle w:val="Heading2"/>
        <w:tabs>
          <w:tab w:val="clear" w:pos="993"/>
          <w:tab w:val="num" w:pos="720"/>
        </w:tabs>
        <w:ind w:left="720" w:hanging="360"/>
      </w:pPr>
      <w:r>
        <w:rPr>
          <w:bCs w:val="0"/>
          <w:iCs/>
          <w:sz w:val="20"/>
          <w:szCs w:val="20"/>
        </w:rPr>
        <w:t>Licenční podmínky pro produkt Microsoft SQL Server 2017 Standard Edition.</w:t>
      </w:r>
      <w:r w:rsidR="00E44086">
        <w:rPr>
          <w:b w:val="0"/>
          <w:bCs w:val="0"/>
          <w:iCs/>
          <w:sz w:val="20"/>
          <w:szCs w:val="20"/>
        </w:rPr>
        <w:t xml:space="preserve"> </w:t>
      </w:r>
      <w:r>
        <w:rPr>
          <w:b w:val="0"/>
          <w:bCs w:val="0"/>
          <w:iCs/>
          <w:sz w:val="20"/>
          <w:szCs w:val="20"/>
        </w:rPr>
        <w:t>Do softwaru je zahrnuta kopie produktu Microsoft SQL Server 2017 Standard Edition. Licence k této kopii vám je poskytována na základě podmínek licence umístěné ve složce „Licenses</w:t>
      </w:r>
      <w:r w:rsidR="00E05C3A">
        <w:rPr>
          <w:b w:val="0"/>
          <w:bCs w:val="0"/>
          <w:iCs/>
          <w:sz w:val="20"/>
          <w:szCs w:val="20"/>
        </w:rPr>
        <w:t>“</w:t>
      </w:r>
      <w:r>
        <w:rPr>
          <w:b w:val="0"/>
          <w:bCs w:val="0"/>
          <w:iCs/>
          <w:sz w:val="20"/>
          <w:szCs w:val="20"/>
        </w:rPr>
        <w:t xml:space="preserve"> (licence) v instalačním adresáři softwaru a dále následujícím způsobem:</w:t>
      </w:r>
    </w:p>
    <w:p w:rsidR="00F666CE" w:rsidRPr="00BA7B72" w:rsidRDefault="00F666CE" w:rsidP="00F666CE">
      <w:pPr>
        <w:widowControl w:val="0"/>
        <w:numPr>
          <w:ilvl w:val="0"/>
          <w:numId w:val="4"/>
        </w:numPr>
        <w:tabs>
          <w:tab w:val="clear" w:pos="1437"/>
          <w:tab w:val="num" w:pos="1080"/>
        </w:tabs>
        <w:ind w:left="1080" w:hanging="360"/>
      </w:pPr>
      <w:r>
        <w:rPr>
          <w:rFonts w:eastAsia="SimSun"/>
          <w:sz w:val="20"/>
          <w:szCs w:val="20"/>
        </w:rPr>
        <w:t>Můžete spustit vždy jen jednu instanci tohoto programu SQL serveru pro podporu softwaru ve fyzickém nebo virtuálním prostředí operačního systému. K užívání tohoto programu SQL serveru s příslušným softwarem nepotřebujete licence CAL k SQL serveru. Smíte vytvořit a uložit jednu kopii produktu SQL Server 2017 Standard Edition jako zálohu výhradně pro uplatnění vašeho práva na provozování instance produktu SQL Server 2017 Edition dle tohoto</w:t>
      </w:r>
      <w:r w:rsidR="00F10DF5">
        <w:rPr>
          <w:rFonts w:eastAsia="SimSun"/>
          <w:sz w:val="20"/>
          <w:szCs w:val="20"/>
        </w:rPr>
        <w:t> </w:t>
      </w:r>
      <w:r>
        <w:rPr>
          <w:rFonts w:eastAsia="SimSun"/>
          <w:sz w:val="20"/>
          <w:szCs w:val="20"/>
        </w:rPr>
        <w:t>dokumentu.</w:t>
      </w:r>
    </w:p>
    <w:p w:rsidR="003C2DE9" w:rsidRPr="00BA7B72" w:rsidRDefault="005F7C07" w:rsidP="009C1CC1">
      <w:pPr>
        <w:pStyle w:val="Heading1"/>
      </w:pPr>
      <w:r>
        <w:rPr>
          <w:sz w:val="20"/>
          <w:szCs w:val="20"/>
        </w:rPr>
        <w:t>ROZSAH LICENCE.</w:t>
      </w:r>
      <w:r w:rsidR="00E44086">
        <w:rPr>
          <w:sz w:val="20"/>
          <w:szCs w:val="20"/>
        </w:rPr>
        <w:t xml:space="preserve"> </w:t>
      </w:r>
      <w:r>
        <w:rPr>
          <w:b w:val="0"/>
          <w:bCs w:val="0"/>
          <w:sz w:val="20"/>
          <w:szCs w:val="20"/>
        </w:rPr>
        <w:t>Software se neprodává, pouze se uděluje licence k jeho užívání. Tato smlouva vám poskytuje pouze určitá užívací práva k softwaru.</w:t>
      </w:r>
      <w:r w:rsidR="00E44086">
        <w:rPr>
          <w:b w:val="0"/>
          <w:bCs w:val="0"/>
          <w:sz w:val="20"/>
          <w:szCs w:val="20"/>
        </w:rPr>
        <w:t xml:space="preserve"> </w:t>
      </w:r>
      <w:r>
        <w:rPr>
          <w:b w:val="0"/>
          <w:bCs w:val="0"/>
          <w:sz w:val="20"/>
          <w:szCs w:val="20"/>
        </w:rPr>
        <w:t>Všechna ostatní práva si vyhrazuje společnost Microsoft.</w:t>
      </w:r>
      <w:r w:rsidR="00E44086">
        <w:rPr>
          <w:b w:val="0"/>
          <w:bCs w:val="0"/>
          <w:sz w:val="20"/>
          <w:szCs w:val="20"/>
        </w:rPr>
        <w:t xml:space="preserve"> </w:t>
      </w:r>
      <w:r>
        <w:rPr>
          <w:b w:val="0"/>
          <w:bCs w:val="0"/>
          <w:sz w:val="20"/>
          <w:szCs w:val="20"/>
        </w:rPr>
        <w:t>Pokud vám rozhodné právo bez ohledu na tato omezení neposkytuje více práv, smíte software užívat pouze způsobem výslovně povoleným v této smlouvě.</w:t>
      </w:r>
      <w:r w:rsidR="00E44086">
        <w:rPr>
          <w:b w:val="0"/>
          <w:bCs w:val="0"/>
          <w:sz w:val="20"/>
          <w:szCs w:val="20"/>
        </w:rPr>
        <w:t xml:space="preserve"> </w:t>
      </w:r>
      <w:r>
        <w:rPr>
          <w:b w:val="0"/>
          <w:bCs w:val="0"/>
          <w:sz w:val="20"/>
          <w:szCs w:val="20"/>
        </w:rPr>
        <w:t>Současně musíte dodržovat veškerá technická omezení v softwaru, která umožňují jeho užívání pouze určitými způsoby.</w:t>
      </w:r>
      <w:r w:rsidR="00E44086">
        <w:rPr>
          <w:b w:val="0"/>
          <w:bCs w:val="0"/>
          <w:sz w:val="20"/>
          <w:szCs w:val="20"/>
        </w:rPr>
        <w:t xml:space="preserve"> </w:t>
      </w:r>
      <w:r>
        <w:rPr>
          <w:b w:val="0"/>
          <w:bCs w:val="0"/>
          <w:sz w:val="20"/>
          <w:szCs w:val="20"/>
        </w:rPr>
        <w:t>Zákazník nesmí:</w:t>
      </w:r>
    </w:p>
    <w:p w:rsidR="003C2DE9" w:rsidRPr="00BA7B72" w:rsidRDefault="005F7C07" w:rsidP="009C1CC1">
      <w:pPr>
        <w:pStyle w:val="Bullet2"/>
      </w:pPr>
      <w:r>
        <w:rPr>
          <w:sz w:val="20"/>
          <w:szCs w:val="20"/>
        </w:rPr>
        <w:t>překračovat žádná technická omezení softwaru,</w:t>
      </w:r>
    </w:p>
    <w:p w:rsidR="003C2DE9" w:rsidRPr="00BA7B72" w:rsidRDefault="005476D7" w:rsidP="005476D7">
      <w:pPr>
        <w:pStyle w:val="Bullet2"/>
      </w:pPr>
      <w:r>
        <w:rPr>
          <w:sz w:val="20"/>
          <w:szCs w:val="20"/>
        </w:rPr>
        <w:t xml:space="preserve">provádět zpětnou analýzu, dekompilaci nebo rozklad softwaru nebo se jinak pokoušet odvodit zdrojový kód softwaru s výjimkou případů, kdy je to požadováno licenčními podmínkami </w:t>
      </w:r>
      <w:r>
        <w:rPr>
          <w:sz w:val="20"/>
          <w:szCs w:val="20"/>
        </w:rPr>
        <w:lastRenderedPageBreak/>
        <w:t>stanovenými třetí stranou, kterými se řídí užívání určitých komponent typu open source, které mohou být zahrnuty do softwaru, a v rozsahu těchto podmínek;</w:t>
      </w:r>
    </w:p>
    <w:p w:rsidR="00E36D36" w:rsidRPr="00BA7B72" w:rsidRDefault="00E36D36" w:rsidP="009C1CC1">
      <w:pPr>
        <w:pStyle w:val="Bullet2"/>
      </w:pPr>
      <w:r>
        <w:rPr>
          <w:rFonts w:eastAsia="SimSun"/>
          <w:sz w:val="20"/>
          <w:szCs w:val="20"/>
        </w:rPr>
        <w:t>odebírat, minimalizovat, blokovat nebo měnit sdělení společnosti Microsoft nebo jejích dodavatelů obsažená v softwaru;</w:t>
      </w:r>
    </w:p>
    <w:p w:rsidR="005476D7" w:rsidRPr="00BA7B72" w:rsidRDefault="005476D7" w:rsidP="009C1CC1">
      <w:pPr>
        <w:pStyle w:val="Bullet2"/>
      </w:pPr>
      <w:r>
        <w:rPr>
          <w:sz w:val="20"/>
          <w:szCs w:val="20"/>
        </w:rPr>
        <w:t>užívat software jakýmkoli způsobem, který je v rozporu se zákonem; nebo</w:t>
      </w:r>
    </w:p>
    <w:p w:rsidR="003C2DE9" w:rsidRPr="0048627B" w:rsidRDefault="008C2558" w:rsidP="006468E6">
      <w:pPr>
        <w:pStyle w:val="Bullet2"/>
        <w:rPr>
          <w:sz w:val="20"/>
          <w:szCs w:val="20"/>
        </w:rPr>
      </w:pPr>
      <w:r w:rsidRPr="0048627B">
        <w:rPr>
          <w:sz w:val="20"/>
          <w:szCs w:val="20"/>
        </w:rPr>
        <w:t>sdílet, publikovat, pronajímat nebo poskytovat na leasing software či jej poskytovat jako samostatné hostované řešení k použití ostatními uživateli.</w:t>
      </w:r>
    </w:p>
    <w:p w:rsidR="003C2DE9" w:rsidRPr="00BA7B72" w:rsidRDefault="005F7C07" w:rsidP="003E1822">
      <w:pPr>
        <w:pStyle w:val="Heading1"/>
        <w:widowControl w:val="0"/>
      </w:pPr>
      <w:r>
        <w:rPr>
          <w:sz w:val="20"/>
          <w:szCs w:val="20"/>
        </w:rPr>
        <w:t>ZÁLOŽNÍ KOPIE.</w:t>
      </w:r>
      <w:r w:rsidR="00E44086">
        <w:rPr>
          <w:sz w:val="20"/>
          <w:szCs w:val="20"/>
        </w:rPr>
        <w:t xml:space="preserve"> </w:t>
      </w:r>
      <w:r>
        <w:rPr>
          <w:b w:val="0"/>
          <w:bCs w:val="0"/>
          <w:sz w:val="20"/>
          <w:szCs w:val="20"/>
        </w:rPr>
        <w:t>Smíte zhotovit jednu záložní kopii softwaru pro účely jeho přeinstalace.</w:t>
      </w:r>
    </w:p>
    <w:p w:rsidR="00D27198" w:rsidRPr="00BA7B72" w:rsidRDefault="00D27198" w:rsidP="00D27198">
      <w:pPr>
        <w:pStyle w:val="Heading1"/>
        <w:widowControl w:val="0"/>
      </w:pPr>
      <w:r>
        <w:rPr>
          <w:rFonts w:eastAsia="SimSun"/>
          <w:sz w:val="20"/>
          <w:szCs w:val="20"/>
        </w:rPr>
        <w:t xml:space="preserve">NEPRODEJNÁ VERZE SOFTWARU. </w:t>
      </w:r>
      <w:r>
        <w:rPr>
          <w:rFonts w:eastAsia="SimSun"/>
          <w:b w:val="0"/>
          <w:bCs w:val="0"/>
          <w:sz w:val="20"/>
          <w:szCs w:val="20"/>
        </w:rPr>
        <w:t>Software označený jako Neprodejná verze („NFR“ nebo „Not for Resale“) nesmíte prodat.</w:t>
      </w:r>
    </w:p>
    <w:p w:rsidR="00D27198" w:rsidRPr="00BA7B72" w:rsidRDefault="00AA5563" w:rsidP="00D27198">
      <w:pPr>
        <w:pStyle w:val="Heading1"/>
        <w:widowControl w:val="0"/>
      </w:pPr>
      <w:r>
        <w:rPr>
          <w:rFonts w:eastAsia="SimSun"/>
          <w:sz w:val="20"/>
          <w:szCs w:val="20"/>
        </w:rPr>
        <w:t>PRÁVA NA UŽÍVÁNÍ OSTATNÍCH VERZÍ A NIŽŠÍCH EDIC.</w:t>
      </w:r>
      <w:r w:rsidR="00E44086">
        <w:rPr>
          <w:sz w:val="20"/>
          <w:szCs w:val="20"/>
        </w:rPr>
        <w:t xml:space="preserve"> </w:t>
      </w:r>
      <w:r>
        <w:rPr>
          <w:b w:val="0"/>
          <w:sz w:val="20"/>
          <w:szCs w:val="20"/>
        </w:rPr>
        <w:t>Software a jakoukoli předchozí verzi smíte používat na jakémkoli zařízení. Smíte vytvořit, uložit, instalovat, spustit licencovanou verzi, kopii nebo instanci předchozí verze, jiné povolené jazykové verze nebo nižší edice nebo k nim přistupovat.</w:t>
      </w:r>
      <w:r>
        <w:rPr>
          <w:rFonts w:eastAsia="SimSun"/>
          <w:b w:val="0"/>
          <w:bCs w:val="0"/>
          <w:sz w:val="20"/>
          <w:szCs w:val="20"/>
        </w:rPr>
        <w:t xml:space="preserve"> </w:t>
      </w:r>
    </w:p>
    <w:p w:rsidR="00D27198" w:rsidRPr="00A0300C" w:rsidRDefault="00D27198" w:rsidP="00D27198">
      <w:pPr>
        <w:pStyle w:val="Heading1"/>
        <w:rPr>
          <w:sz w:val="20"/>
          <w:szCs w:val="20"/>
        </w:rPr>
      </w:pPr>
      <w:r w:rsidRPr="00A0300C">
        <w:rPr>
          <w:rFonts w:eastAsia="SimSun"/>
          <w:sz w:val="20"/>
          <w:szCs w:val="20"/>
        </w:rPr>
        <w:t xml:space="preserve">DOKLAD O LICENCI („Proof of License“ nebo „POL“). </w:t>
      </w:r>
      <w:r w:rsidRPr="00A0300C">
        <w:rPr>
          <w:rFonts w:eastAsia="SimSun"/>
          <w:b w:val="0"/>
          <w:bCs w:val="0"/>
          <w:sz w:val="20"/>
          <w:szCs w:val="20"/>
        </w:rPr>
        <w:t>Pokud jste software získali na disku nebo na jiném médiu, vaším dokladem o licenci je štítek Certifikát pravosti společnosti Microsoft a váš doklad o nákupu. Pokud jste si zakoupili online kopii softwaru, je vaším dokladem o licenci váš doklad o nákupu nebo možnost přistupovat k softwarové službě prostřednictvím účtu Microsoft.</w:t>
      </w:r>
      <w:r w:rsidR="00E44086" w:rsidRPr="00A0300C">
        <w:rPr>
          <w:rFonts w:eastAsia="SimSun"/>
          <w:b w:val="0"/>
          <w:bCs w:val="0"/>
          <w:sz w:val="20"/>
          <w:szCs w:val="20"/>
        </w:rPr>
        <w:t xml:space="preserve"> </w:t>
      </w:r>
      <w:r w:rsidRPr="00A0300C">
        <w:rPr>
          <w:rFonts w:eastAsia="SimSun"/>
          <w:b w:val="0"/>
          <w:bCs w:val="0"/>
          <w:sz w:val="20"/>
          <w:szCs w:val="20"/>
        </w:rPr>
        <w:t>Informace o</w:t>
      </w:r>
      <w:r w:rsidR="00A17F59" w:rsidRPr="00A0300C">
        <w:rPr>
          <w:rFonts w:eastAsia="SimSun"/>
          <w:b w:val="0"/>
          <w:bCs w:val="0"/>
          <w:sz w:val="20"/>
          <w:szCs w:val="20"/>
        </w:rPr>
        <w:t> </w:t>
      </w:r>
      <w:r w:rsidRPr="00A0300C">
        <w:rPr>
          <w:rFonts w:eastAsia="SimSun"/>
          <w:b w:val="0"/>
          <w:bCs w:val="0"/>
          <w:sz w:val="20"/>
          <w:szCs w:val="20"/>
        </w:rPr>
        <w:t xml:space="preserve">určení pravého softwaru společnosti Microsoft naleznete na adrese </w:t>
      </w:r>
      <w:hyperlink r:id="rId10" w:history="1">
        <w:r w:rsidRPr="00A0300C">
          <w:rPr>
            <w:rStyle w:val="Hyperlink"/>
            <w:rFonts w:eastAsia="SimSun" w:cs="Tahoma"/>
            <w:b w:val="0"/>
            <w:bCs w:val="0"/>
            <w:sz w:val="20"/>
            <w:szCs w:val="20"/>
          </w:rPr>
          <w:t>www.howtotell.com</w:t>
        </w:r>
      </w:hyperlink>
      <w:r w:rsidRPr="00A0300C">
        <w:rPr>
          <w:rFonts w:eastAsia="SimSun"/>
          <w:b w:val="0"/>
          <w:bCs w:val="0"/>
          <w:sz w:val="20"/>
          <w:szCs w:val="20"/>
        </w:rPr>
        <w:t>.</w:t>
      </w:r>
    </w:p>
    <w:p w:rsidR="00A31C77" w:rsidRPr="00BA7B72" w:rsidRDefault="00A31C77" w:rsidP="00404F3D">
      <w:pPr>
        <w:pStyle w:val="Heading1Unbold"/>
        <w:spacing w:before="120" w:after="120"/>
        <w:ind w:left="360" w:hanging="360"/>
      </w:pPr>
      <w:r>
        <w:rPr>
          <w:b/>
          <w:bCs/>
          <w:sz w:val="20"/>
          <w:szCs w:val="20"/>
        </w:rPr>
        <w:t xml:space="preserve">PŘEVOD NA TŘETÍ STRANU. </w:t>
      </w:r>
      <w:r>
        <w:rPr>
          <w:rFonts w:eastAsia="SimSun"/>
          <w:sz w:val="20"/>
          <w:szCs w:val="20"/>
        </w:rPr>
        <w:t>Pokud jste platným držitelem licence softwaru, smíte licenci a tuto licenční smlouvu převést na jinou stranu. Před převodem musí tato strana souhlasit s tím, že se na</w:t>
      </w:r>
      <w:r w:rsidR="00A17F59">
        <w:rPr>
          <w:rFonts w:eastAsia="SimSun"/>
          <w:sz w:val="20"/>
          <w:szCs w:val="20"/>
        </w:rPr>
        <w:t> </w:t>
      </w:r>
      <w:r>
        <w:rPr>
          <w:rFonts w:eastAsia="SimSun"/>
          <w:sz w:val="20"/>
          <w:szCs w:val="20"/>
        </w:rPr>
        <w:t>převod a užívání softwaru vztahuje tato smlouva. Tento převod musí zahrnovat software a (v příslušných případech) štítek Doklad o licenci. Po převodu softwaru mimo zařízení musí převádějící uživatel odinstalovat všechny kopie softwaru. Uživatel provádějící převod si smí uchovat kopie softwaru, pouze pokud k tomu má licenci</w:t>
      </w:r>
      <w:r>
        <w:rPr>
          <w:bCs/>
          <w:sz w:val="20"/>
          <w:szCs w:val="20"/>
        </w:rPr>
        <w:t>.</w:t>
      </w:r>
    </w:p>
    <w:p w:rsidR="00A31C77" w:rsidRPr="005277B1" w:rsidRDefault="00A31C77" w:rsidP="00057836">
      <w:pPr>
        <w:pStyle w:val="Heading1Unbold"/>
        <w:spacing w:before="120" w:after="120"/>
        <w:ind w:left="360" w:hanging="360"/>
        <w:rPr>
          <w:sz w:val="20"/>
          <w:szCs w:val="20"/>
        </w:rPr>
      </w:pPr>
      <w:r w:rsidRPr="005277B1">
        <w:rPr>
          <w:b/>
          <w:bCs/>
          <w:sz w:val="20"/>
          <w:szCs w:val="20"/>
        </w:rPr>
        <w:t xml:space="preserve">VÝVOZNÍ OMEZENÍ. </w:t>
      </w:r>
      <w:r w:rsidRPr="005277B1">
        <w:rPr>
          <w:bCs/>
          <w:sz w:val="20"/>
          <w:szCs w:val="20"/>
        </w:rPr>
        <w:t>Dále musíte dodržet veškeré místní</w:t>
      </w:r>
      <w:r w:rsidRPr="005277B1">
        <w:rPr>
          <w:rFonts w:eastAsia="SimSun"/>
          <w:sz w:val="20"/>
          <w:szCs w:val="20"/>
        </w:rPr>
        <w:t xml:space="preserve"> i mezinárodní zákony a předpisy o exportu, které se na software vztahují, včetně omezení týkajících se místa určení, koncových uživatelů a koncového užívání. </w:t>
      </w:r>
      <w:r w:rsidRPr="005277B1">
        <w:rPr>
          <w:bCs/>
          <w:sz w:val="20"/>
          <w:szCs w:val="20"/>
        </w:rPr>
        <w:t>Další informace o omezeních exportu naleznete na adrese</w:t>
      </w:r>
      <w:r w:rsidR="00E44086" w:rsidRPr="005277B1">
        <w:rPr>
          <w:bCs/>
          <w:sz w:val="20"/>
          <w:szCs w:val="20"/>
        </w:rPr>
        <w:t xml:space="preserve"> </w:t>
      </w:r>
      <w:hyperlink r:id="rId11" w:history="1">
        <w:r w:rsidRPr="005277B1">
          <w:rPr>
            <w:rStyle w:val="Hyperlink"/>
            <w:rFonts w:eastAsia="SimSun"/>
            <w:sz w:val="20"/>
            <w:szCs w:val="20"/>
          </w:rPr>
          <w:t>www.microsoft.com/exporting</w:t>
        </w:r>
      </w:hyperlink>
      <w:r w:rsidRPr="005277B1">
        <w:rPr>
          <w:sz w:val="20"/>
          <w:szCs w:val="20"/>
        </w:rPr>
        <w:t>.</w:t>
      </w:r>
    </w:p>
    <w:p w:rsidR="00ED016B" w:rsidRPr="00096280" w:rsidRDefault="005F7C07" w:rsidP="00057836">
      <w:pPr>
        <w:pStyle w:val="Heading1"/>
        <w:widowControl w:val="0"/>
        <w:ind w:left="360" w:hanging="360"/>
        <w:rPr>
          <w:sz w:val="20"/>
          <w:szCs w:val="20"/>
        </w:rPr>
      </w:pPr>
      <w:r w:rsidRPr="00096280">
        <w:rPr>
          <w:sz w:val="20"/>
          <w:szCs w:val="20"/>
        </w:rPr>
        <w:t>SLUŽBY TECHNICKÉ PODPORY.</w:t>
      </w:r>
      <w:r w:rsidRPr="00096280">
        <w:rPr>
          <w:b w:val="0"/>
          <w:bCs w:val="0"/>
          <w:sz w:val="20"/>
          <w:szCs w:val="20"/>
        </w:rPr>
        <w:t xml:space="preserve"> </w:t>
      </w:r>
      <w:r w:rsidRPr="00096280">
        <w:rPr>
          <w:b w:val="0"/>
          <w:sz w:val="20"/>
          <w:szCs w:val="20"/>
        </w:rPr>
        <w:t>Společnost Microsoft poskytuje služby podpory pro software, jak</w:t>
      </w:r>
      <w:r w:rsidR="00FD5CE1" w:rsidRPr="00096280">
        <w:rPr>
          <w:b w:val="0"/>
          <w:sz w:val="20"/>
          <w:szCs w:val="20"/>
        </w:rPr>
        <w:t> </w:t>
      </w:r>
      <w:r w:rsidRPr="00096280">
        <w:rPr>
          <w:b w:val="0"/>
          <w:sz w:val="20"/>
          <w:szCs w:val="20"/>
        </w:rPr>
        <w:t xml:space="preserve">je popsáno na adrese </w:t>
      </w:r>
      <w:hyperlink r:id="rId12" w:history="1">
        <w:r w:rsidRPr="00096280">
          <w:rPr>
            <w:rStyle w:val="Hyperlink"/>
            <w:b w:val="0"/>
            <w:sz w:val="20"/>
            <w:szCs w:val="20"/>
          </w:rPr>
          <w:t>https://support.microsoft.com</w:t>
        </w:r>
      </w:hyperlink>
      <w:r w:rsidRPr="00096280">
        <w:rPr>
          <w:b w:val="0"/>
          <w:sz w:val="20"/>
          <w:szCs w:val="20"/>
        </w:rPr>
        <w:t>.</w:t>
      </w:r>
    </w:p>
    <w:p w:rsidR="00A31C77" w:rsidRPr="00BA7B72" w:rsidRDefault="005F7C07" w:rsidP="00A31C77">
      <w:pPr>
        <w:pStyle w:val="Heading1Unbold"/>
      </w:pPr>
      <w:r>
        <w:rPr>
          <w:b/>
          <w:bCs/>
          <w:sz w:val="20"/>
          <w:szCs w:val="20"/>
        </w:rPr>
        <w:t xml:space="preserve">ÚPLNÁ SMLOUVA. </w:t>
      </w:r>
      <w:r>
        <w:rPr>
          <w:rFonts w:eastAsia="SimSun"/>
          <w:sz w:val="20"/>
          <w:szCs w:val="20"/>
        </w:rPr>
        <w:t>Tato smlouva (včetně záruky uvedené níže) a podmínky pro doplňky, aktualizace, internetové služby a služby technické podpory, které užíváte, tvoří úplnou dohodu ohledně softwaru a služeb technické podpory</w:t>
      </w:r>
      <w:r>
        <w:rPr>
          <w:bCs/>
          <w:sz w:val="20"/>
          <w:szCs w:val="20"/>
        </w:rPr>
        <w:t>.</w:t>
      </w:r>
    </w:p>
    <w:p w:rsidR="002061BD" w:rsidRPr="00BA7B72" w:rsidRDefault="002061BD" w:rsidP="002061BD">
      <w:pPr>
        <w:pStyle w:val="Heading1Unbold"/>
        <w:numPr>
          <w:ilvl w:val="0"/>
          <w:numId w:val="0"/>
        </w:numPr>
        <w:ind w:left="357"/>
      </w:pPr>
    </w:p>
    <w:p w:rsidR="00A31C77" w:rsidRPr="00BA7B72" w:rsidRDefault="005F7C07">
      <w:pPr>
        <w:pStyle w:val="Heading1Unbold"/>
      </w:pPr>
      <w:r>
        <w:rPr>
          <w:b/>
          <w:bCs/>
          <w:sz w:val="20"/>
          <w:szCs w:val="20"/>
        </w:rPr>
        <w:t>ROZHODNÉ PRÁVO.</w:t>
      </w:r>
      <w:r>
        <w:rPr>
          <w:sz w:val="20"/>
          <w:szCs w:val="20"/>
        </w:rPr>
        <w:t xml:space="preserve"> </w:t>
      </w:r>
      <w:r>
        <w:rPr>
          <w:rFonts w:eastAsia="SimSun"/>
          <w:sz w:val="20"/>
          <w:szCs w:val="20"/>
        </w:rPr>
        <w:t>Pokud jste software získali v USA, řídí se výklad této smlouvy a nároky z titulu jejího porušení zákony státu Washington a na veškeré další nároky se vztahují zákony státu vašeho bydliště.</w:t>
      </w:r>
      <w:r w:rsidR="00E44086">
        <w:rPr>
          <w:rFonts w:eastAsia="SimSun"/>
          <w:sz w:val="20"/>
          <w:szCs w:val="20"/>
        </w:rPr>
        <w:t xml:space="preserve"> </w:t>
      </w:r>
      <w:r>
        <w:rPr>
          <w:rFonts w:eastAsia="SimSun"/>
          <w:sz w:val="20"/>
          <w:szCs w:val="20"/>
        </w:rPr>
        <w:t>Pokud jste software získali na území jakékoli jiné země, bude se tato smlouva řídit zákony této země</w:t>
      </w:r>
      <w:r>
        <w:rPr>
          <w:sz w:val="20"/>
          <w:szCs w:val="20"/>
        </w:rPr>
        <w:t>.</w:t>
      </w:r>
    </w:p>
    <w:p w:rsidR="006E26BF" w:rsidRPr="00BA7B72" w:rsidRDefault="006E26BF" w:rsidP="006E26BF">
      <w:pPr>
        <w:pStyle w:val="Heading1"/>
        <w:tabs>
          <w:tab w:val="clear" w:pos="360"/>
          <w:tab w:val="num" w:pos="540"/>
        </w:tabs>
        <w:ind w:left="360" w:hanging="360"/>
      </w:pPr>
      <w:r>
        <w:rPr>
          <w:sz w:val="20"/>
          <w:szCs w:val="20"/>
        </w:rPr>
        <w:t xml:space="preserve">PRÁVA SPOTŘEBITELE, REGIONÁLNÍ ODCHYLKY. </w:t>
      </w:r>
      <w:r>
        <w:rPr>
          <w:b w:val="0"/>
          <w:sz w:val="20"/>
          <w:szCs w:val="20"/>
        </w:rPr>
        <w:t>Tato smlouva popisuje určitá zákonná práva. Zákony vašeho státu nebo země vám mohou zaručovat i další práva, včetně spotřebitelských práv. Mimo váš vztah ke společnosti Microsoft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rsidR="006E26BF" w:rsidRPr="00BA7B72" w:rsidRDefault="006E26BF" w:rsidP="006E26BF">
      <w:pPr>
        <w:pStyle w:val="Heading2"/>
        <w:numPr>
          <w:ilvl w:val="0"/>
          <w:numId w:val="30"/>
        </w:numPr>
        <w:tabs>
          <w:tab w:val="left" w:pos="720"/>
        </w:tabs>
      </w:pPr>
      <w:r>
        <w:rPr>
          <w:sz w:val="20"/>
          <w:szCs w:val="20"/>
        </w:rPr>
        <w:t xml:space="preserve">Austrálie. </w:t>
      </w:r>
      <w:r>
        <w:rPr>
          <w:b w:val="0"/>
          <w:sz w:val="20"/>
          <w:szCs w:val="20"/>
        </w:rPr>
        <w:t xml:space="preserve">Odkazy na „omezenou záruku“ jsou odkazy na výslovnou záruku poskytovanou společností Microsoft či výrobcem nebo instalátorem. Tato záruka se poskytuje navíc k jiným </w:t>
      </w:r>
      <w:r>
        <w:rPr>
          <w:b w:val="0"/>
          <w:sz w:val="20"/>
          <w:szCs w:val="20"/>
        </w:rPr>
        <w:lastRenderedPageBreak/>
        <w:t>zákonným právům a prostředkům nápravy včetně práv a prostředků nápravy, jež jsou v souladu se zákonnými zárukami australského spotřebitelského práva.</w:t>
      </w:r>
    </w:p>
    <w:p w:rsidR="000F2756" w:rsidRPr="00BA7B72" w:rsidRDefault="000F2756" w:rsidP="000F2756">
      <w:pPr>
        <w:pStyle w:val="Heading2"/>
        <w:numPr>
          <w:ilvl w:val="0"/>
          <w:numId w:val="0"/>
        </w:numPr>
        <w:tabs>
          <w:tab w:val="left" w:pos="720"/>
        </w:tabs>
        <w:ind w:left="717"/>
      </w:pPr>
      <w:r>
        <w:rPr>
          <w:b w:val="0"/>
          <w:sz w:val="20"/>
          <w:szCs w:val="20"/>
        </w:rPr>
        <w:t>Pojem „zboží“ v tomto oddíle označuje software, na který společnost Microsoft, výrobce nebo instalátor poskytuje výslovnou záruku. Zboží se dodává se zárukami, které podle australského spotřebitelského práva nelze vyloučit. Máte nárok na výměnu nebo náhradu z důvodu zásadní vady a na kompenzaci z důvodu jakékoli jiné důvodně předvídatelné ztráty nebo škody. Máte rovněž nárok na opravu nebo výměnu zboží, pokud zboží nemá přijatelnou kvalitu a tato vada není zásadní povahy.</w:t>
      </w:r>
    </w:p>
    <w:p w:rsidR="006E26BF" w:rsidRPr="00BA7B72" w:rsidRDefault="006E26BF" w:rsidP="006E26BF">
      <w:pPr>
        <w:pStyle w:val="Heading2"/>
        <w:numPr>
          <w:ilvl w:val="0"/>
          <w:numId w:val="30"/>
        </w:numPr>
        <w:tabs>
          <w:tab w:val="left" w:pos="720"/>
        </w:tabs>
      </w:pPr>
      <w:r>
        <w:rPr>
          <w:sz w:val="20"/>
          <w:szCs w:val="20"/>
        </w:rPr>
        <w:t xml:space="preserve">Kanada. </w:t>
      </w:r>
      <w:r>
        <w:rPr>
          <w:b w:val="0"/>
          <w:sz w:val="20"/>
          <w:szCs w:val="20"/>
        </w:rPr>
        <w:t>Pokud jste tento software pořídili v Kanadě, můžete zastavit příjem aktualizací vypnutím funkce automatických aktualizací, odpojením vašeho zařízení od internetu (v případě opětovného připojení k internetu však software obnoví zjišťování a instalaci aktualizací) nebo odinstalováním softwaru. Dokumentace k produktu, je-li k dispozici, může také uvádět pokyny pro vypnutí aktualizací pro vaše konkrétní zařízení nebo software.</w:t>
      </w:r>
    </w:p>
    <w:p w:rsidR="006E26BF" w:rsidRPr="00BA7B72" w:rsidRDefault="006E26BF" w:rsidP="006E26BF">
      <w:pPr>
        <w:pStyle w:val="Heading2"/>
        <w:numPr>
          <w:ilvl w:val="0"/>
          <w:numId w:val="30"/>
        </w:numPr>
        <w:tabs>
          <w:tab w:val="left" w:pos="720"/>
        </w:tabs>
      </w:pPr>
      <w:r>
        <w:rPr>
          <w:sz w:val="20"/>
          <w:szCs w:val="20"/>
        </w:rPr>
        <w:t>Německo a Rakousko</w:t>
      </w:r>
      <w:r>
        <w:rPr>
          <w:b w:val="0"/>
          <w:sz w:val="20"/>
          <w:szCs w:val="20"/>
        </w:rPr>
        <w:t>.</w:t>
      </w:r>
    </w:p>
    <w:p w:rsidR="006E26BF" w:rsidRPr="00BA7B72" w:rsidRDefault="006E26BF" w:rsidP="006E26BF">
      <w:pPr>
        <w:ind w:left="717"/>
      </w:pPr>
      <w:r>
        <w:rPr>
          <w:b/>
          <w:sz w:val="20"/>
          <w:szCs w:val="20"/>
        </w:rPr>
        <w:t>(i)</w:t>
      </w:r>
      <w:r>
        <w:rPr>
          <w:sz w:val="20"/>
          <w:szCs w:val="20"/>
        </w:rPr>
        <w:tab/>
      </w:r>
      <w:r>
        <w:rPr>
          <w:b/>
          <w:sz w:val="20"/>
          <w:szCs w:val="20"/>
        </w:rPr>
        <w:t>Záruka</w:t>
      </w:r>
      <w:r w:rsidRPr="00171CB8">
        <w:rPr>
          <w:b/>
          <w:bCs/>
          <w:sz w:val="20"/>
          <w:szCs w:val="20"/>
        </w:rPr>
        <w:t>.</w:t>
      </w:r>
      <w:r>
        <w:rPr>
          <w:sz w:val="20"/>
          <w:szCs w:val="20"/>
        </w:rPr>
        <w:t xml:space="preserve"> Řádně licencovaný software bude v podstatných rysech fungovat tak, jak je popsáno v materiálech společnosti Microsoft dodávaných spolu s ním. Společnost Microsoft však ve vztahu k licencovanému softwaru neposkytuje žádné smluvní záruky.</w:t>
      </w:r>
    </w:p>
    <w:p w:rsidR="006E26BF" w:rsidRPr="00BA7B72" w:rsidRDefault="006E26BF" w:rsidP="006E26BF">
      <w:pPr>
        <w:ind w:left="717"/>
      </w:pPr>
      <w:r>
        <w:rPr>
          <w:b/>
          <w:sz w:val="20"/>
          <w:szCs w:val="20"/>
        </w:rPr>
        <w:t>(ii)</w:t>
      </w:r>
      <w:r>
        <w:rPr>
          <w:sz w:val="20"/>
          <w:szCs w:val="20"/>
        </w:rPr>
        <w:tab/>
      </w:r>
      <w:r>
        <w:rPr>
          <w:b/>
          <w:sz w:val="20"/>
          <w:szCs w:val="20"/>
        </w:rPr>
        <w:t>Omezení odpovědnosti</w:t>
      </w:r>
      <w:r w:rsidRPr="00171CB8">
        <w:rPr>
          <w:b/>
          <w:bCs/>
          <w:sz w:val="20"/>
          <w:szCs w:val="20"/>
        </w:rPr>
        <w:t>.</w:t>
      </w:r>
      <w:r>
        <w:rPr>
          <w:sz w:val="20"/>
          <w:szCs w:val="20"/>
        </w:rPr>
        <w:t xml:space="preserve"> V případě záměrného jednání, hrubé nedbalosti, nároků na základě zákona o odpovědnosti za produkt a také v případě úmrtí nebo zranění nese společnost Microsoft odpovědnost podle zákonného práva.</w:t>
      </w:r>
    </w:p>
    <w:p w:rsidR="006E26BF" w:rsidRPr="00BA7B72" w:rsidRDefault="006E26BF" w:rsidP="006E26BF">
      <w:pPr>
        <w:pStyle w:val="Heading1"/>
        <w:numPr>
          <w:ilvl w:val="0"/>
          <w:numId w:val="0"/>
        </w:numPr>
        <w:tabs>
          <w:tab w:val="left" w:pos="720"/>
        </w:tabs>
        <w:ind w:left="717"/>
      </w:pPr>
      <w:r>
        <w:rPr>
          <w:b w:val="0"/>
          <w:sz w:val="20"/>
          <w:szCs w:val="20"/>
        </w:rPr>
        <w:t>V souladu s předchozím ustanovením (ii) ponese společnost Microsoft odpovědnost pouze za mírnou nedbalost, pokud společnost Microsoft poruší takové závažné smluvní povinnosti, jejichž plnění napomáhá řádnému plnění této smlouvy a jejichž porušení by ohrozilo účel této smlouvy a zajištění shody, které může strana trvale očekávat (tzv. „zásadní povinnosti“). V ostatních případech mírné nedbalosti nenese společnost Microsoft za mírnou nedbalost odpovědnost.</w:t>
      </w:r>
    </w:p>
    <w:p w:rsidR="00A31C77" w:rsidRPr="00BA7B72" w:rsidRDefault="005F7C07" w:rsidP="00057836">
      <w:pPr>
        <w:pStyle w:val="Heading1Unbold"/>
        <w:spacing w:before="120" w:after="120"/>
      </w:pPr>
      <w:r>
        <w:rPr>
          <w:b/>
          <w:bCs/>
          <w:sz w:val="20"/>
          <w:szCs w:val="20"/>
        </w:rPr>
        <w:t>OMEZENÍ A VYLOUČENÍ NÁHRADY ŠKODY. OD SPOLEČNOSTI MICROSOFT A JEJÍCH DODAVATELŮ MŮŽETE ZÍSKAT POUZE NÁHRADU ZA PŘÍMÉ ŠKODY DO MAXIMÁLNÍ VÝŠE 5 USD. NEMÁTE NÁROK NA NÁHRADU ZA ŽÁDNÉ JINÉ ŠKODY, VČETNĚ NÁSLEDNÝCH ŠKOD, UŠLÉHO ZISKU A ZVLÁŠTNÍCH, NEPŘÍMÝCH NEBO NÁHODNÝCH ŠKOD.</w:t>
      </w:r>
    </w:p>
    <w:p w:rsidR="00A31C77" w:rsidRPr="00BA7B72" w:rsidRDefault="005F7C07" w:rsidP="00CF73DE">
      <w:pPr>
        <w:pStyle w:val="Heading1Unbold"/>
        <w:numPr>
          <w:ilvl w:val="0"/>
          <w:numId w:val="0"/>
        </w:numPr>
        <w:spacing w:before="120" w:after="120"/>
        <w:ind w:left="360" w:hanging="3"/>
      </w:pPr>
      <w:r>
        <w:rPr>
          <w:bCs/>
          <w:sz w:val="20"/>
          <w:szCs w:val="20"/>
        </w:rPr>
        <w:t>Toto omezení se vztahuje na (a) cokoli související se softwarem, službami, obsahem (včetně kódu) na</w:t>
      </w:r>
      <w:r w:rsidR="00083303">
        <w:rPr>
          <w:bCs/>
          <w:sz w:val="20"/>
          <w:szCs w:val="20"/>
        </w:rPr>
        <w:t> </w:t>
      </w:r>
      <w:r>
        <w:rPr>
          <w:bCs/>
          <w:sz w:val="20"/>
          <w:szCs w:val="20"/>
        </w:rPr>
        <w:t>webových stránkách třetích stran nebo v aplikacích třetích stran a na (b) žaloby pro porušení smlouvy, porušení záruky, garance či podmínky, objektivní odpovědnosti, nedbalost či jiné občanskoprávní delikty v rozsahu povoleném rozhodným právem.</w:t>
      </w:r>
    </w:p>
    <w:p w:rsidR="00CE6053" w:rsidRPr="00BA7B72" w:rsidRDefault="005F7C07" w:rsidP="00CF73DE">
      <w:pPr>
        <w:pStyle w:val="Heading1Unbold"/>
        <w:numPr>
          <w:ilvl w:val="0"/>
          <w:numId w:val="0"/>
        </w:numPr>
        <w:spacing w:before="120" w:after="120"/>
        <w:ind w:left="357"/>
      </w:pPr>
      <w:r>
        <w:rPr>
          <w:bCs/>
          <w:sz w:val="20"/>
          <w:szCs w:val="20"/>
        </w:rPr>
        <w:t>Vztahuje se rovněž na situace, kdy společnost Microsoft věděla nebo mohla vědět o možnosti vzniku těchto škod. Výše uvedené omezení nebo vyloučení se na vás nemusí vztahovat v případě, že váš stát</w:t>
      </w:r>
      <w:r w:rsidR="007208F0">
        <w:rPr>
          <w:bCs/>
          <w:sz w:val="20"/>
          <w:szCs w:val="20"/>
        </w:rPr>
        <w:t> </w:t>
      </w:r>
      <w:r>
        <w:rPr>
          <w:bCs/>
          <w:sz w:val="20"/>
          <w:szCs w:val="20"/>
        </w:rPr>
        <w:t>nebo země neumožňuje vyloučení nebo omezení náhodných, následných nebo jiných škod.</w:t>
      </w:r>
    </w:p>
    <w:p w:rsidR="00AF6E5D" w:rsidRPr="00BA7B72" w:rsidRDefault="00AF6E5D">
      <w:pPr>
        <w:spacing w:before="0" w:after="0"/>
      </w:pPr>
      <w:r>
        <w:br w:type="page"/>
      </w:r>
    </w:p>
    <w:p w:rsidR="00AF6E5D" w:rsidRPr="00BA7B72" w:rsidRDefault="00AF6E5D" w:rsidP="0092772C">
      <w:pPr>
        <w:spacing w:before="0" w:after="0"/>
      </w:pPr>
    </w:p>
    <w:p w:rsidR="0071708E" w:rsidRPr="00BA7B72" w:rsidRDefault="0071708E" w:rsidP="0071708E">
      <w:pPr>
        <w:widowControl w:val="0"/>
      </w:pPr>
      <w:r>
        <w:rPr>
          <w:rFonts w:eastAsia="SimSun"/>
          <w:b/>
          <w:bCs/>
          <w:sz w:val="20"/>
          <w:szCs w:val="20"/>
        </w:rPr>
        <w:t>*************************************************************************</w:t>
      </w:r>
    </w:p>
    <w:p w:rsidR="006242AF" w:rsidRPr="00BA7B72" w:rsidRDefault="006242AF" w:rsidP="006242AF">
      <w:pPr>
        <w:pStyle w:val="HeadingWarranty"/>
        <w:widowControl w:val="0"/>
      </w:pPr>
      <w:r>
        <w:rPr>
          <w:rFonts w:eastAsia="SimSun"/>
          <w:sz w:val="20"/>
          <w:szCs w:val="20"/>
        </w:rPr>
        <w:t>OMEZENÁ ZÁRUKA</w:t>
      </w:r>
    </w:p>
    <w:p w:rsidR="006242AF" w:rsidRPr="00BA7B72" w:rsidRDefault="006242AF" w:rsidP="006242AF">
      <w:pPr>
        <w:pStyle w:val="Heading1Warranty"/>
        <w:widowControl w:val="0"/>
      </w:pPr>
      <w:r>
        <w:rPr>
          <w:rFonts w:eastAsia="SimSun"/>
          <w:b/>
          <w:bCs/>
          <w:sz w:val="20"/>
          <w:szCs w:val="20"/>
        </w:rPr>
        <w:t>OMEZENÁ ZÁRUKA.</w:t>
      </w:r>
      <w:r>
        <w:rPr>
          <w:rFonts w:eastAsia="SimSun"/>
          <w:sz w:val="20"/>
          <w:szCs w:val="20"/>
        </w:rPr>
        <w:t xml:space="preserve"> Budete-li dodržovat pokyny, bude software v podstatných rysech fungovat tak, jak je popsáno v materiálech společnosti Microsoft, které jste obdrželi v softwaru nebo spolu s ním.</w:t>
      </w:r>
    </w:p>
    <w:p w:rsidR="006242AF" w:rsidRPr="00BA7B72" w:rsidRDefault="006242AF" w:rsidP="006242AF">
      <w:pPr>
        <w:ind w:left="360"/>
      </w:pPr>
      <w:r>
        <w:rPr>
          <w:bCs/>
          <w:sz w:val="20"/>
          <w:szCs w:val="20"/>
        </w:rPr>
        <w:t>Odkazy na „omezenou záruku“</w:t>
      </w:r>
      <w:r>
        <w:rPr>
          <w:sz w:val="20"/>
          <w:szCs w:val="20"/>
        </w:rPr>
        <w:t xml:space="preserve"> jsou odkazy na záruku výslovně poskytovanou společností Microsoft. Tato záruka se poskytuje navíc k jiným zákonným právům a prostředkům nápravy včetně práv a prostředků nápravy, jež jsou v souladu se zákonnými zárukami místního spotřebitelského práva.</w:t>
      </w:r>
    </w:p>
    <w:p w:rsidR="006242AF" w:rsidRPr="00BA7B72" w:rsidRDefault="006242AF" w:rsidP="006242AF">
      <w:pPr>
        <w:pStyle w:val="Heading1Warranty"/>
        <w:widowControl w:val="0"/>
      </w:pPr>
      <w:r>
        <w:rPr>
          <w:rFonts w:eastAsia="SimSun"/>
          <w:b/>
          <w:bCs/>
          <w:sz w:val="20"/>
          <w:szCs w:val="20"/>
        </w:rPr>
        <w:t xml:space="preserve">ZÁRUČNÍ PODMÍNKY, OSOBA, V JEJÍŽ PROSPĚCH JE ZÁRUKA POSKYTNUTA, DÉLKA VEŠKERÝCH ODVOZENÝCH ZÁRUK. </w:t>
      </w:r>
      <w:r>
        <w:rPr>
          <w:b/>
          <w:bCs/>
          <w:sz w:val="20"/>
          <w:szCs w:val="20"/>
        </w:rPr>
        <w:t>Omezená záruka pokrývá užití softwaru po dobu jednoho roku ode dne, kdy jej získal první uživatel. Pokud v průběhu tohoto roku obdržíte dodatky, aktualizace nebo náhradní software, bude se na ně vztahovat záruka po zbytek záruční doby nebo po dobu 30 dní, podle toho, které z těchto období je delší</w:t>
      </w:r>
      <w:r>
        <w:rPr>
          <w:rFonts w:eastAsia="SimSun"/>
          <w:b/>
          <w:bCs/>
          <w:sz w:val="20"/>
          <w:szCs w:val="20"/>
        </w:rPr>
        <w:t>.</w:t>
      </w:r>
      <w:r>
        <w:rPr>
          <w:rFonts w:eastAsia="SimSun"/>
          <w:sz w:val="20"/>
          <w:szCs w:val="20"/>
        </w:rPr>
        <w:t xml:space="preserve"> Pokud první uživatel software převede, bude se zbytek záruční doby vztahovat na příjemce.</w:t>
      </w:r>
    </w:p>
    <w:p w:rsidR="006242AF" w:rsidRPr="00BA7B72" w:rsidRDefault="00972B5B" w:rsidP="006242AF">
      <w:pPr>
        <w:pStyle w:val="Body1"/>
        <w:widowControl w:val="0"/>
      </w:pPr>
      <w:r>
        <w:rPr>
          <w:b/>
          <w:bCs/>
          <w:sz w:val="20"/>
          <w:szCs w:val="20"/>
        </w:rPr>
        <w:t>V rozsahu povoleném zákonem mají všechny odvozené záruky, garance nebo podmínky platnost pouze po dobu trvání omezené záruky</w:t>
      </w:r>
      <w:r>
        <w:rPr>
          <w:rFonts w:eastAsia="SimSun"/>
          <w:b/>
          <w:bCs/>
          <w:sz w:val="20"/>
          <w:szCs w:val="20"/>
        </w:rPr>
        <w:t>.</w:t>
      </w:r>
      <w:r>
        <w:rPr>
          <w:rFonts w:eastAsia="SimSun"/>
          <w:sz w:val="20"/>
          <w:szCs w:val="20"/>
        </w:rPr>
        <w:t xml:space="preserve"> Některé státy neumožňují omezení doby trvání odvozené záruky, a proto se na vás tato omezení nemusí vztahovat. Nemusí se na vás rovněž vztahovat proto, že některé státy neumožňují omezení doby trvání předpokládaných záruk, garancí či podmínek.</w:t>
      </w:r>
    </w:p>
    <w:p w:rsidR="006242AF" w:rsidRPr="00BA7B72" w:rsidRDefault="006242AF" w:rsidP="006242AF">
      <w:pPr>
        <w:pStyle w:val="Heading1Warranty"/>
        <w:widowControl w:val="0"/>
      </w:pPr>
      <w:r>
        <w:rPr>
          <w:rFonts w:eastAsia="SimSun"/>
          <w:b/>
          <w:bCs/>
          <w:sz w:val="20"/>
          <w:szCs w:val="20"/>
        </w:rPr>
        <w:t>VYLOUČENÍ ZE ZÁRUKY.</w:t>
      </w:r>
      <w:r>
        <w:rPr>
          <w:rFonts w:eastAsia="SimSun"/>
          <w:sz w:val="20"/>
          <w:szCs w:val="20"/>
        </w:rPr>
        <w:t xml:space="preserve"> Tato záruka se nevztahuje na potíže způsobené vaším konáním (či nekonáním), konáním ostatních nebo událostmi, které jsou mimo přiměřenou kontrolu společnosti Microsoft.</w:t>
      </w:r>
    </w:p>
    <w:p w:rsidR="006242AF" w:rsidRPr="00BA7B72" w:rsidRDefault="006242AF" w:rsidP="006242AF">
      <w:pPr>
        <w:pStyle w:val="Heading1Warranty"/>
        <w:widowControl w:val="0"/>
      </w:pPr>
      <w:r>
        <w:rPr>
          <w:rFonts w:eastAsia="SimSun"/>
          <w:b/>
          <w:bCs/>
          <w:sz w:val="20"/>
          <w:szCs w:val="20"/>
        </w:rPr>
        <w:t xml:space="preserve">PROSTŘEDKY NÁPRAVY PŘI PORUŠENÍ ZÁRUKY. </w:t>
      </w:r>
      <w:r>
        <w:rPr>
          <w:b/>
          <w:bCs/>
          <w:sz w:val="20"/>
          <w:szCs w:val="20"/>
        </w:rPr>
        <w:t>Společnost Microsoft bezplatně opraví nebo nahradí software. Nebude-li jej společnost Microsoft moci opravit nebo nahradit, vrátí vám částku, která je uvedena na dokladu o nákupu softwaru. Společnost Microsoft rovněž bezplatně opraví nebo nahradí dodatky, aktualizace nebo náhradní software. Nebude-li je společnost Microsoft moci opravit nebo nahradit, vrátí vám částku, kterou jste za ně případně zaplatili. Chcete-li získat finanční náhradu, musíte odinstalovat software a vrátit veškerá média a další související materiály společnosti Microsoft spolu s dokladem o nákupu. Toto jsou jediné prostředky nápravy za porušení omezené záruky</w:t>
      </w:r>
      <w:r>
        <w:rPr>
          <w:rFonts w:eastAsia="SimSun"/>
          <w:b/>
          <w:bCs/>
          <w:sz w:val="20"/>
          <w:szCs w:val="20"/>
        </w:rPr>
        <w:t>.</w:t>
      </w:r>
    </w:p>
    <w:p w:rsidR="006242AF" w:rsidRPr="00BA7B72" w:rsidRDefault="006242AF" w:rsidP="006242AF">
      <w:pPr>
        <w:pStyle w:val="Heading1Warranty"/>
        <w:widowControl w:val="0"/>
      </w:pPr>
      <w:r>
        <w:rPr>
          <w:rFonts w:eastAsia="SimSun"/>
          <w:b/>
          <w:bCs/>
          <w:sz w:val="20"/>
          <w:szCs w:val="20"/>
        </w:rPr>
        <w:t xml:space="preserve">PRÁVA ZÁKAZNÍKŮ NEJSOU DOTČENA. </w:t>
      </w:r>
      <w:r>
        <w:rPr>
          <w:b/>
          <w:bCs/>
          <w:sz w:val="20"/>
          <w:szCs w:val="20"/>
        </w:rPr>
        <w:t>Podle místních zákonů můžete mít další spotřebitelská práva, která tato smlouva nemůže změnit</w:t>
      </w:r>
      <w:r>
        <w:rPr>
          <w:rFonts w:eastAsia="SimSun"/>
          <w:b/>
          <w:bCs/>
          <w:sz w:val="20"/>
          <w:szCs w:val="20"/>
        </w:rPr>
        <w:t>.</w:t>
      </w:r>
    </w:p>
    <w:p w:rsidR="006242AF" w:rsidRPr="00BA7B72" w:rsidRDefault="006242AF" w:rsidP="006242AF">
      <w:pPr>
        <w:pStyle w:val="Heading1Warranty"/>
        <w:widowControl w:val="0"/>
      </w:pPr>
      <w:r>
        <w:rPr>
          <w:rFonts w:eastAsia="SimSun"/>
          <w:b/>
          <w:bCs/>
          <w:sz w:val="20"/>
          <w:szCs w:val="20"/>
        </w:rPr>
        <w:t xml:space="preserve">POSTUPY PŘI UPLATNĚNÍ ZÁRUKY. </w:t>
      </w:r>
      <w:r>
        <w:rPr>
          <w:rFonts w:eastAsia="SimSun"/>
          <w:sz w:val="20"/>
          <w:szCs w:val="20"/>
        </w:rPr>
        <w:t>K uplatnění záruční služby budete potřebovat doklad o nákupu.</w:t>
      </w:r>
    </w:p>
    <w:p w:rsidR="006242AF" w:rsidRPr="00BA7B72" w:rsidRDefault="006242AF" w:rsidP="006242AF">
      <w:pPr>
        <w:pStyle w:val="Heading2Warranty"/>
        <w:widowControl w:val="0"/>
      </w:pPr>
      <w:r>
        <w:rPr>
          <w:rFonts w:eastAsia="SimSun"/>
          <w:b/>
          <w:bCs/>
          <w:sz w:val="20"/>
          <w:szCs w:val="20"/>
        </w:rPr>
        <w:t>Spojené státy americké a Kanada.</w:t>
      </w:r>
      <w:r>
        <w:rPr>
          <w:rFonts w:eastAsia="SimSun"/>
          <w:sz w:val="20"/>
          <w:szCs w:val="20"/>
        </w:rPr>
        <w:t xml:space="preserve"> Chcete-li získat záruční služby nebo informace o získání náhrady za software získaný ve Spojených státech amerických nebo v Kanadě, obraťte se na společnost Microsoft:</w:t>
      </w:r>
    </w:p>
    <w:p w:rsidR="006242AF" w:rsidRPr="00BA7B72" w:rsidRDefault="006242AF" w:rsidP="002E15C0">
      <w:pPr>
        <w:pStyle w:val="Bullet3"/>
        <w:widowControl w:val="0"/>
        <w:ind w:left="1080" w:hanging="360"/>
      </w:pPr>
      <w:r>
        <w:rPr>
          <w:rFonts w:eastAsia="SimSun"/>
          <w:sz w:val="20"/>
          <w:szCs w:val="20"/>
        </w:rPr>
        <w:t>(800) MICROSOFT,</w:t>
      </w:r>
    </w:p>
    <w:p w:rsidR="006242AF" w:rsidRPr="00BA7B72" w:rsidRDefault="006242AF" w:rsidP="002E15C0">
      <w:pPr>
        <w:pStyle w:val="Bullet3"/>
        <w:widowControl w:val="0"/>
        <w:ind w:left="1080" w:hanging="360"/>
      </w:pPr>
      <w:r>
        <w:rPr>
          <w:rFonts w:eastAsia="SimSun"/>
          <w:sz w:val="20"/>
          <w:szCs w:val="20"/>
        </w:rPr>
        <w:t>Microsoft Customer Service and Support, One Microsoft Way, Redmond, WA 98052-6399 nebo</w:t>
      </w:r>
    </w:p>
    <w:p w:rsidR="006242AF" w:rsidRPr="00BA7B72" w:rsidRDefault="006242AF" w:rsidP="002E15C0">
      <w:pPr>
        <w:pStyle w:val="Bullet3"/>
        <w:widowControl w:val="0"/>
        <w:ind w:left="1080" w:hanging="360"/>
      </w:pPr>
      <w:r>
        <w:rPr>
          <w:rFonts w:eastAsia="SimSun"/>
          <w:sz w:val="20"/>
          <w:szCs w:val="20"/>
        </w:rPr>
        <w:t xml:space="preserve">navštivte adresu </w:t>
      </w:r>
      <w:r>
        <w:rPr>
          <w:rStyle w:val="Hyperlink"/>
          <w:rFonts w:eastAsia="SimSun" w:cs="Tahoma"/>
          <w:sz w:val="20"/>
          <w:szCs w:val="20"/>
        </w:rPr>
        <w:t>(aka.ms/nareturns)</w:t>
      </w:r>
      <w:r>
        <w:rPr>
          <w:rFonts w:eastAsia="SimSun"/>
          <w:sz w:val="20"/>
          <w:szCs w:val="20"/>
        </w:rPr>
        <w:t>.</w:t>
      </w:r>
    </w:p>
    <w:p w:rsidR="006242AF" w:rsidRPr="00BA7B72" w:rsidRDefault="006242AF" w:rsidP="006242AF">
      <w:pPr>
        <w:pStyle w:val="Heading2Warranty"/>
        <w:widowControl w:val="0"/>
      </w:pPr>
      <w:r>
        <w:rPr>
          <w:rFonts w:eastAsia="SimSun"/>
          <w:b/>
          <w:bCs/>
          <w:sz w:val="20"/>
          <w:szCs w:val="20"/>
        </w:rPr>
        <w:t xml:space="preserve">Evropa, Střední východ a Afrika. </w:t>
      </w:r>
      <w:r>
        <w:rPr>
          <w:rFonts w:eastAsia="SimSun"/>
          <w:sz w:val="20"/>
          <w:szCs w:val="20"/>
        </w:rPr>
        <w:t>Pokud jste software získali v Evropě, na Středním východě nebo v Africe, poskytuje tuto omezenou záruku společnost Microsoft Ireland Operations Limited. Chcete-li uplatnit nárok v rámci této záruky, měli byste se obrátit:</w:t>
      </w:r>
    </w:p>
    <w:p w:rsidR="006242AF" w:rsidRPr="00BA7B72" w:rsidRDefault="006242AF" w:rsidP="002E15C0">
      <w:pPr>
        <w:pStyle w:val="Bullet3"/>
        <w:widowControl w:val="0"/>
        <w:ind w:left="1080" w:hanging="360"/>
      </w:pPr>
      <w:r>
        <w:rPr>
          <w:rFonts w:eastAsia="SimSun"/>
          <w:sz w:val="20"/>
          <w:szCs w:val="20"/>
        </w:rPr>
        <w:t xml:space="preserve">buď na společnost Microsoft Ireland Operations Limited, Customer Care Centre, Atrium </w:t>
      </w:r>
      <w:r>
        <w:rPr>
          <w:rFonts w:eastAsia="SimSun"/>
          <w:sz w:val="20"/>
          <w:szCs w:val="20"/>
        </w:rPr>
        <w:lastRenderedPageBreak/>
        <w:t>Building Block B, Carmanhall Road, Sandyford Industrial Estate, Dublin 18, Irsko, nebo</w:t>
      </w:r>
    </w:p>
    <w:p w:rsidR="006242AF" w:rsidRPr="00BA7B72" w:rsidRDefault="006242AF" w:rsidP="002E15C0">
      <w:pPr>
        <w:pStyle w:val="Bullet3"/>
        <w:widowControl w:val="0"/>
        <w:ind w:left="1080" w:hanging="360"/>
      </w:pPr>
      <w:r>
        <w:rPr>
          <w:rFonts w:eastAsia="SimSun"/>
          <w:sz w:val="20"/>
          <w:szCs w:val="20"/>
        </w:rPr>
        <w:t>na afilaci společnosti Microsoft ve vaší zemi (viz aka.ms/msoffices).</w:t>
      </w:r>
    </w:p>
    <w:p w:rsidR="006242AF" w:rsidRPr="00BA7B72" w:rsidRDefault="006242AF" w:rsidP="006242AF">
      <w:pPr>
        <w:widowControl w:val="0"/>
        <w:numPr>
          <w:ilvl w:val="1"/>
          <w:numId w:val="10"/>
        </w:numPr>
        <w:outlineLvl w:val="1"/>
      </w:pPr>
      <w:r>
        <w:rPr>
          <w:rFonts w:eastAsia="SimSun"/>
          <w:b/>
          <w:bCs/>
          <w:sz w:val="20"/>
          <w:szCs w:val="20"/>
        </w:rPr>
        <w:t xml:space="preserve">Austrálie. </w:t>
      </w:r>
      <w:r>
        <w:rPr>
          <w:rFonts w:eastAsia="SimSun"/>
          <w:sz w:val="20"/>
          <w:szCs w:val="20"/>
        </w:rPr>
        <w:t>Chcete-li získat záruční služby a nárokovat výdaje v souvislosti s případnou zárukou na software pořízený v Austrálii, obraťte se na společnost Microsoft:</w:t>
      </w:r>
    </w:p>
    <w:p w:rsidR="006242AF" w:rsidRPr="00BA7B72" w:rsidRDefault="006242AF" w:rsidP="006242AF">
      <w:pPr>
        <w:widowControl w:val="0"/>
        <w:numPr>
          <w:ilvl w:val="0"/>
          <w:numId w:val="3"/>
        </w:numPr>
      </w:pPr>
      <w:r>
        <w:rPr>
          <w:rFonts w:eastAsia="SimSun"/>
          <w:sz w:val="20"/>
          <w:szCs w:val="20"/>
        </w:rPr>
        <w:t>13 20 58, nebo</w:t>
      </w:r>
    </w:p>
    <w:p w:rsidR="006242AF" w:rsidRPr="00BA7B72" w:rsidRDefault="006242AF" w:rsidP="002E15C0">
      <w:pPr>
        <w:pStyle w:val="Bullet3"/>
        <w:widowControl w:val="0"/>
        <w:ind w:left="1080" w:hanging="360"/>
      </w:pPr>
      <w:r>
        <w:rPr>
          <w:rFonts w:eastAsia="SimSun"/>
          <w:sz w:val="20"/>
          <w:szCs w:val="20"/>
        </w:rPr>
        <w:t>na adrese Microsoft Pty Ltd, 1 Epping Road, North Ryde NSW 2113, Australia.</w:t>
      </w:r>
    </w:p>
    <w:p w:rsidR="006242AF" w:rsidRPr="00BA7B72" w:rsidRDefault="006242AF" w:rsidP="006242AF">
      <w:pPr>
        <w:pStyle w:val="Heading2Warranty"/>
        <w:widowControl w:val="0"/>
      </w:pPr>
      <w:r>
        <w:rPr>
          <w:rFonts w:eastAsia="SimSun"/>
          <w:b/>
          <w:bCs/>
          <w:sz w:val="20"/>
          <w:szCs w:val="20"/>
        </w:rPr>
        <w:t xml:space="preserve">Mimo území Spojených států amerických, Kanady, Evropy, Středního východu, Afriky a Austrálie. </w:t>
      </w:r>
      <w:r>
        <w:rPr>
          <w:rFonts w:eastAsia="SimSun"/>
          <w:sz w:val="20"/>
          <w:szCs w:val="20"/>
        </w:rPr>
        <w:t>Pokud jste software pořídili mimo území Spojených států amerických, Kanady, Evropy, Středního východu, Afriky a Austrálie, obraťte se na afilaci společnosti Microsoft ve své zemi nebo oblasti (viz web aka.ms/msoffices).</w:t>
      </w:r>
    </w:p>
    <w:p w:rsidR="006242AF" w:rsidRPr="00BA7B72" w:rsidRDefault="006242AF" w:rsidP="006242AF">
      <w:pPr>
        <w:pStyle w:val="Heading1Warranty"/>
        <w:widowControl w:val="0"/>
      </w:pPr>
      <w:r>
        <w:rPr>
          <w:rFonts w:eastAsia="SimSun"/>
          <w:b/>
          <w:bCs/>
          <w:sz w:val="20"/>
          <w:szCs w:val="20"/>
        </w:rPr>
        <w:t xml:space="preserve">ŽÁDNÉ DALŠÍ ZÁRUKY. </w:t>
      </w:r>
      <w:r>
        <w:rPr>
          <w:b/>
          <w:bCs/>
          <w:sz w:val="20"/>
          <w:szCs w:val="20"/>
        </w:rPr>
        <w:t>Omezená záruka je jedinou přímou zárukou, kterou společnost Microsoft poskytuje. Společnost Microsoft neposkytuje žádné jiné výslovné záruky, garance ani podmínky. V rozsahu povoleném místními zákony společnost Microsoft vylučuje odvozené záruky prodejnosti, vhodnosti pro určitý účel a neporušení smlouvy</w:t>
      </w:r>
      <w:r>
        <w:rPr>
          <w:rFonts w:eastAsia="SimSun"/>
          <w:b/>
          <w:bCs/>
          <w:sz w:val="20"/>
          <w:szCs w:val="20"/>
        </w:rPr>
        <w:t>.</w:t>
      </w:r>
      <w:r>
        <w:rPr>
          <w:rFonts w:eastAsia="SimSun"/>
          <w:sz w:val="20"/>
          <w:szCs w:val="20"/>
        </w:rPr>
        <w:t xml:space="preserve"> Pokud vám vaše místní zákony poskytují jakékoli předpokládané záruky, garance nebo podmínky bez ohledu na toto omezení, jsou vaše prostředky nápravy popsány v ustanovení Prostředky nápravy při porušení záruky uvedeném výše, a to v rozsahu povoleném vašimi místními zákony.</w:t>
      </w:r>
    </w:p>
    <w:p w:rsidR="005C3493" w:rsidRPr="00BA7B72" w:rsidRDefault="005C3493" w:rsidP="005C3493">
      <w:pPr>
        <w:ind w:left="360"/>
      </w:pPr>
      <w:r>
        <w:rPr>
          <w:b/>
          <w:bCs/>
          <w:sz w:val="20"/>
          <w:szCs w:val="20"/>
        </w:rPr>
        <w:t>POUZE PRO AUSTRÁLII.</w:t>
      </w:r>
      <w:r>
        <w:rPr>
          <w:bCs/>
          <w:sz w:val="20"/>
          <w:szCs w:val="20"/>
        </w:rPr>
        <w:t xml:space="preserve"> </w:t>
      </w:r>
      <w:r>
        <w:rPr>
          <w:sz w:val="20"/>
          <w:szCs w:val="20"/>
        </w:rPr>
        <w:t xml:space="preserve">Odkazy na „omezenou záruku“ jsou odkazy na záruku poskytovanou společností Microsoft. Tato záruka se poskytuje navíc k jiným zákonným právům a prostředkům nápravy včetně práv a prostředků nápravy, jež jsou v souladu se zákonnými zárukami australského spotřebitelského práva. Zboží se dodává se zárukami, které podle australského spotřebitelského práva nelze vyloučit. Máte nárok na výměnu nebo náhradu z důvodu zásadní vady a na kompenzaci z důvodu jakékoli jiné důvodně předvídatelné ztráty nebo škody. Máte rovněž nárok na opravu nebo výměnu zboží, pokud zboží nemá přijatelnou kvalitu a tato vada není zásadní povahy. </w:t>
      </w:r>
      <w:r>
        <w:rPr>
          <w:rFonts w:eastAsia="SimSun"/>
          <w:sz w:val="20"/>
          <w:szCs w:val="20"/>
        </w:rPr>
        <w:t>Zboží předložené k opravě může být místo výměny nahrazeno opraveným zbožím stejného typu. Pro opravu zboží mohou být použity opravené díly.</w:t>
      </w:r>
    </w:p>
    <w:p w:rsidR="006242AF" w:rsidRPr="00BA7B72" w:rsidRDefault="006242AF" w:rsidP="006242AF">
      <w:pPr>
        <w:pStyle w:val="Heading1Warranty"/>
        <w:widowControl w:val="0"/>
      </w:pPr>
      <w:r>
        <w:rPr>
          <w:rFonts w:eastAsia="SimSun"/>
          <w:b/>
          <w:bCs/>
          <w:sz w:val="20"/>
          <w:szCs w:val="20"/>
        </w:rPr>
        <w:t xml:space="preserve">OMEZENÍ A VYLOUČENÍ NÁHRADY ŠKODY ZA PORUŠENÍ ZÁRUKY. </w:t>
      </w:r>
      <w:r>
        <w:rPr>
          <w:b/>
          <w:bCs/>
          <w:sz w:val="20"/>
          <w:szCs w:val="20"/>
        </w:rPr>
        <w:t>Na porušení této omezené záruky se vztahuje výše uvedené ustanovení o omezení a vyloučení náhrady škody</w:t>
      </w:r>
      <w:r>
        <w:rPr>
          <w:rFonts w:eastAsia="SimSun"/>
          <w:b/>
          <w:bCs/>
          <w:sz w:val="20"/>
          <w:szCs w:val="20"/>
        </w:rPr>
        <w:t>.</w:t>
      </w:r>
    </w:p>
    <w:p w:rsidR="003C2DE9" w:rsidRDefault="005C3493" w:rsidP="0092772C">
      <w:pPr>
        <w:ind w:left="360"/>
      </w:pPr>
      <w:r>
        <w:rPr>
          <w:b/>
          <w:bCs/>
          <w:sz w:val="20"/>
          <w:szCs w:val="20"/>
        </w:rPr>
        <w:t>Tato záruka vám poskytuje určitá zákonná práva. Můžete mít rovněž další práva, která se</w:t>
      </w:r>
      <w:r w:rsidR="004A03BF">
        <w:rPr>
          <w:b/>
          <w:bCs/>
          <w:sz w:val="20"/>
          <w:szCs w:val="20"/>
        </w:rPr>
        <w:t> </w:t>
      </w:r>
      <w:r>
        <w:rPr>
          <w:b/>
          <w:bCs/>
          <w:sz w:val="20"/>
          <w:szCs w:val="20"/>
        </w:rPr>
        <w:t>v jednotlivých regionech vaší země liší. Můžete mít rovněž další práva, která se v jednotlivých zemích liší</w:t>
      </w:r>
      <w:r>
        <w:rPr>
          <w:rFonts w:eastAsia="SimSun"/>
          <w:b/>
          <w:bCs/>
          <w:sz w:val="20"/>
          <w:szCs w:val="20"/>
        </w:rPr>
        <w:t>.</w:t>
      </w:r>
      <w:r>
        <w:br/>
      </w:r>
    </w:p>
    <w:p w:rsidR="001D159E" w:rsidRPr="00BA7B72" w:rsidRDefault="001D159E" w:rsidP="001D159E">
      <w:r>
        <w:rPr>
          <w:rFonts w:ascii="Segoe UI" w:eastAsia="Times New Roman" w:hAnsi="Segoe UI" w:cs="Segoe UI"/>
        </w:rPr>
        <w:t>EULAID: TFS2018_RTW_CSY</w:t>
      </w:r>
      <w:bookmarkStart w:id="5" w:name="_GoBack"/>
      <w:bookmarkEnd w:id="5"/>
    </w:p>
    <w:sectPr w:rsidR="001D159E" w:rsidRPr="00BA7B72" w:rsidSect="004C543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907" w:rsidRDefault="00E72907" w:rsidP="003C2DE9">
      <w:pPr>
        <w:spacing w:before="0" w:after="0"/>
      </w:pPr>
      <w:r>
        <w:separator/>
      </w:r>
    </w:p>
  </w:endnote>
  <w:endnote w:type="continuationSeparator" w:id="0">
    <w:p w:rsidR="00E72907" w:rsidRDefault="00E72907" w:rsidP="003C2DE9">
      <w:pPr>
        <w:spacing w:before="0" w:after="0"/>
      </w:pPr>
      <w:r>
        <w:continuationSeparator/>
      </w:r>
    </w:p>
  </w:endnote>
  <w:endnote w:type="continuationNotice" w:id="1">
    <w:p w:rsidR="00E72907" w:rsidRDefault="00E729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2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907" w:rsidRDefault="00E72907" w:rsidP="003C2DE9">
      <w:pPr>
        <w:spacing w:before="0" w:after="0"/>
      </w:pPr>
      <w:r>
        <w:separator/>
      </w:r>
    </w:p>
  </w:footnote>
  <w:footnote w:type="continuationSeparator" w:id="0">
    <w:p w:rsidR="00E72907" w:rsidRDefault="00E72907" w:rsidP="003C2DE9">
      <w:pPr>
        <w:spacing w:before="0" w:after="0"/>
      </w:pPr>
      <w:r>
        <w:continuationSeparator/>
      </w:r>
    </w:p>
  </w:footnote>
  <w:footnote w:type="continuationNotice" w:id="1">
    <w:p w:rsidR="00E72907" w:rsidRDefault="00E7290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3DA6962A"/>
    <w:lvl w:ilvl="0">
      <w:start w:val="1"/>
      <w:numFmt w:val="upperLetter"/>
      <w:pStyle w:val="Heading1Warranty"/>
      <w:lvlText w:val="%1."/>
      <w:lvlJc w:val="left"/>
      <w:pPr>
        <w:tabs>
          <w:tab w:val="num" w:pos="360"/>
        </w:tabs>
        <w:ind w:left="360" w:hanging="360"/>
      </w:pPr>
      <w:rPr>
        <w:rFonts w:cs="Times New Roman" w:hint="default"/>
        <w:b/>
        <w:bCs/>
        <w:i w:val="0"/>
        <w:iCs w:val="0"/>
        <w:sz w:val="20"/>
        <w:szCs w:val="20"/>
      </w:rPr>
    </w:lvl>
    <w:lvl w:ilvl="1">
      <w:start w:val="1"/>
      <w:numFmt w:val="decimal"/>
      <w:pStyle w:val="Heading2Warranty"/>
      <w:lvlText w:val="%2."/>
      <w:lvlJc w:val="left"/>
      <w:pPr>
        <w:tabs>
          <w:tab w:val="num" w:pos="720"/>
        </w:tabs>
        <w:ind w:left="720" w:hanging="360"/>
      </w:pPr>
      <w:rPr>
        <w:rFonts w:cs="Times New Roman" w:hint="default"/>
        <w:b/>
        <w:bCs/>
        <w:i w:val="0"/>
        <w:iCs w:val="0"/>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C3AA0D70"/>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wsrQwMrM0MTU1MzdU0lEKTi0uzszPAykwrAUAWrC4oSwAAAA="/>
  </w:docVars>
  <w:rsids>
    <w:rsidRoot w:val="003C2DE9"/>
    <w:rsid w:val="000033EC"/>
    <w:rsid w:val="00004856"/>
    <w:rsid w:val="00014EE3"/>
    <w:rsid w:val="00017C56"/>
    <w:rsid w:val="0002425A"/>
    <w:rsid w:val="0002605D"/>
    <w:rsid w:val="00027224"/>
    <w:rsid w:val="000276A5"/>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DDE"/>
    <w:rsid w:val="0007613F"/>
    <w:rsid w:val="00083303"/>
    <w:rsid w:val="00083307"/>
    <w:rsid w:val="000877BB"/>
    <w:rsid w:val="00087CD9"/>
    <w:rsid w:val="00090444"/>
    <w:rsid w:val="00092D95"/>
    <w:rsid w:val="00096085"/>
    <w:rsid w:val="00096280"/>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395D"/>
    <w:rsid w:val="000F4AC8"/>
    <w:rsid w:val="00100913"/>
    <w:rsid w:val="00104829"/>
    <w:rsid w:val="0010620D"/>
    <w:rsid w:val="0010698F"/>
    <w:rsid w:val="0011051D"/>
    <w:rsid w:val="0011116B"/>
    <w:rsid w:val="00114D15"/>
    <w:rsid w:val="00123E81"/>
    <w:rsid w:val="00125F63"/>
    <w:rsid w:val="00134932"/>
    <w:rsid w:val="0013672F"/>
    <w:rsid w:val="0014406D"/>
    <w:rsid w:val="001466BA"/>
    <w:rsid w:val="00154FDC"/>
    <w:rsid w:val="00155909"/>
    <w:rsid w:val="0015668A"/>
    <w:rsid w:val="00161277"/>
    <w:rsid w:val="00165A02"/>
    <w:rsid w:val="00171CB8"/>
    <w:rsid w:val="00171F48"/>
    <w:rsid w:val="001744FD"/>
    <w:rsid w:val="001757F3"/>
    <w:rsid w:val="00181D6A"/>
    <w:rsid w:val="0018202B"/>
    <w:rsid w:val="00183FF4"/>
    <w:rsid w:val="001845B3"/>
    <w:rsid w:val="00190DEE"/>
    <w:rsid w:val="0019394B"/>
    <w:rsid w:val="001A440A"/>
    <w:rsid w:val="001B04F1"/>
    <w:rsid w:val="001B06C6"/>
    <w:rsid w:val="001B2376"/>
    <w:rsid w:val="001C1619"/>
    <w:rsid w:val="001C1F5A"/>
    <w:rsid w:val="001C2348"/>
    <w:rsid w:val="001C2DA6"/>
    <w:rsid w:val="001C2DE4"/>
    <w:rsid w:val="001C3E22"/>
    <w:rsid w:val="001C55D2"/>
    <w:rsid w:val="001D159E"/>
    <w:rsid w:val="001D1F24"/>
    <w:rsid w:val="001D4884"/>
    <w:rsid w:val="001E0F91"/>
    <w:rsid w:val="001E10A6"/>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24F1"/>
    <w:rsid w:val="002131F1"/>
    <w:rsid w:val="00215B75"/>
    <w:rsid w:val="00216A3E"/>
    <w:rsid w:val="002225CA"/>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57216"/>
    <w:rsid w:val="00260D00"/>
    <w:rsid w:val="002619C9"/>
    <w:rsid w:val="002656BA"/>
    <w:rsid w:val="00266528"/>
    <w:rsid w:val="002674B7"/>
    <w:rsid w:val="002702B7"/>
    <w:rsid w:val="00270E8E"/>
    <w:rsid w:val="00271DE6"/>
    <w:rsid w:val="00272C82"/>
    <w:rsid w:val="00275277"/>
    <w:rsid w:val="0027754A"/>
    <w:rsid w:val="002778B9"/>
    <w:rsid w:val="00277C63"/>
    <w:rsid w:val="0028541D"/>
    <w:rsid w:val="00286990"/>
    <w:rsid w:val="00286C87"/>
    <w:rsid w:val="00290B81"/>
    <w:rsid w:val="00297FBC"/>
    <w:rsid w:val="002A3637"/>
    <w:rsid w:val="002A52B9"/>
    <w:rsid w:val="002A5D3F"/>
    <w:rsid w:val="002B004B"/>
    <w:rsid w:val="002B3905"/>
    <w:rsid w:val="002B6B45"/>
    <w:rsid w:val="002C4FAD"/>
    <w:rsid w:val="002C6C9F"/>
    <w:rsid w:val="002C75CC"/>
    <w:rsid w:val="002C7DB9"/>
    <w:rsid w:val="002D059D"/>
    <w:rsid w:val="002D0EE8"/>
    <w:rsid w:val="002D1B9D"/>
    <w:rsid w:val="002D39C9"/>
    <w:rsid w:val="002D4427"/>
    <w:rsid w:val="002D50B1"/>
    <w:rsid w:val="002D608E"/>
    <w:rsid w:val="002D6732"/>
    <w:rsid w:val="002E03FB"/>
    <w:rsid w:val="002E15C0"/>
    <w:rsid w:val="002E1A41"/>
    <w:rsid w:val="002E2EB2"/>
    <w:rsid w:val="002E69C2"/>
    <w:rsid w:val="002E6D5F"/>
    <w:rsid w:val="002E76AD"/>
    <w:rsid w:val="002F2C71"/>
    <w:rsid w:val="002F2DF4"/>
    <w:rsid w:val="002F2EA0"/>
    <w:rsid w:val="002F5D58"/>
    <w:rsid w:val="0030084A"/>
    <w:rsid w:val="00302FA9"/>
    <w:rsid w:val="00304459"/>
    <w:rsid w:val="003066C0"/>
    <w:rsid w:val="003177EA"/>
    <w:rsid w:val="00317891"/>
    <w:rsid w:val="0032181D"/>
    <w:rsid w:val="00332858"/>
    <w:rsid w:val="0033480B"/>
    <w:rsid w:val="0034229D"/>
    <w:rsid w:val="00345753"/>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559D"/>
    <w:rsid w:val="0040772D"/>
    <w:rsid w:val="00412559"/>
    <w:rsid w:val="00412A62"/>
    <w:rsid w:val="0042232D"/>
    <w:rsid w:val="00423316"/>
    <w:rsid w:val="00430F84"/>
    <w:rsid w:val="00435A5C"/>
    <w:rsid w:val="00440E75"/>
    <w:rsid w:val="00442444"/>
    <w:rsid w:val="00450C9A"/>
    <w:rsid w:val="00454584"/>
    <w:rsid w:val="004563C1"/>
    <w:rsid w:val="00462302"/>
    <w:rsid w:val="00463365"/>
    <w:rsid w:val="00463C3F"/>
    <w:rsid w:val="00471315"/>
    <w:rsid w:val="004717AB"/>
    <w:rsid w:val="00471E21"/>
    <w:rsid w:val="00475E9D"/>
    <w:rsid w:val="004767F2"/>
    <w:rsid w:val="00476ECA"/>
    <w:rsid w:val="00477474"/>
    <w:rsid w:val="00477FB1"/>
    <w:rsid w:val="00480A78"/>
    <w:rsid w:val="004846A4"/>
    <w:rsid w:val="00484C9B"/>
    <w:rsid w:val="004851CF"/>
    <w:rsid w:val="0048627B"/>
    <w:rsid w:val="00492E25"/>
    <w:rsid w:val="004A03BF"/>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743"/>
    <w:rsid w:val="005277B1"/>
    <w:rsid w:val="0053235F"/>
    <w:rsid w:val="00536E25"/>
    <w:rsid w:val="005436C2"/>
    <w:rsid w:val="005476D7"/>
    <w:rsid w:val="00551F8B"/>
    <w:rsid w:val="00553D0E"/>
    <w:rsid w:val="00557B20"/>
    <w:rsid w:val="005645B3"/>
    <w:rsid w:val="00567B54"/>
    <w:rsid w:val="005721A3"/>
    <w:rsid w:val="005742F1"/>
    <w:rsid w:val="00575A66"/>
    <w:rsid w:val="005774AA"/>
    <w:rsid w:val="0057758F"/>
    <w:rsid w:val="00582C6D"/>
    <w:rsid w:val="005842F0"/>
    <w:rsid w:val="00584A4B"/>
    <w:rsid w:val="00585531"/>
    <w:rsid w:val="0058582B"/>
    <w:rsid w:val="005912D8"/>
    <w:rsid w:val="005A0496"/>
    <w:rsid w:val="005A058E"/>
    <w:rsid w:val="005A2742"/>
    <w:rsid w:val="005A2755"/>
    <w:rsid w:val="005A2950"/>
    <w:rsid w:val="005A7E92"/>
    <w:rsid w:val="005B266A"/>
    <w:rsid w:val="005B4939"/>
    <w:rsid w:val="005B59C1"/>
    <w:rsid w:val="005C3493"/>
    <w:rsid w:val="005C34DE"/>
    <w:rsid w:val="005C35C2"/>
    <w:rsid w:val="005D090F"/>
    <w:rsid w:val="005D3815"/>
    <w:rsid w:val="005D5AB9"/>
    <w:rsid w:val="005E0908"/>
    <w:rsid w:val="005F30B0"/>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01F"/>
    <w:rsid w:val="006407A4"/>
    <w:rsid w:val="00643088"/>
    <w:rsid w:val="00643D28"/>
    <w:rsid w:val="006444A3"/>
    <w:rsid w:val="006468E6"/>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A7DC1"/>
    <w:rsid w:val="006B1025"/>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08F0"/>
    <w:rsid w:val="00721BA6"/>
    <w:rsid w:val="00721E2F"/>
    <w:rsid w:val="007221C6"/>
    <w:rsid w:val="00724D6B"/>
    <w:rsid w:val="0074214F"/>
    <w:rsid w:val="00742D87"/>
    <w:rsid w:val="0074321A"/>
    <w:rsid w:val="0074773B"/>
    <w:rsid w:val="00753122"/>
    <w:rsid w:val="00753798"/>
    <w:rsid w:val="00756A22"/>
    <w:rsid w:val="00757ECD"/>
    <w:rsid w:val="00767F8E"/>
    <w:rsid w:val="00770825"/>
    <w:rsid w:val="00774682"/>
    <w:rsid w:val="007767E2"/>
    <w:rsid w:val="0078113A"/>
    <w:rsid w:val="00781A37"/>
    <w:rsid w:val="00783D98"/>
    <w:rsid w:val="00786B89"/>
    <w:rsid w:val="00787719"/>
    <w:rsid w:val="007877BB"/>
    <w:rsid w:val="007906C6"/>
    <w:rsid w:val="00790932"/>
    <w:rsid w:val="00791B94"/>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4C5D"/>
    <w:rsid w:val="008662EC"/>
    <w:rsid w:val="0087214B"/>
    <w:rsid w:val="00875E9F"/>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69C"/>
    <w:rsid w:val="00936BD5"/>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4C02"/>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300C"/>
    <w:rsid w:val="00A03E0B"/>
    <w:rsid w:val="00A05D2E"/>
    <w:rsid w:val="00A062B6"/>
    <w:rsid w:val="00A100C7"/>
    <w:rsid w:val="00A10441"/>
    <w:rsid w:val="00A114CB"/>
    <w:rsid w:val="00A15FE9"/>
    <w:rsid w:val="00A17F59"/>
    <w:rsid w:val="00A211C6"/>
    <w:rsid w:val="00A21541"/>
    <w:rsid w:val="00A22B69"/>
    <w:rsid w:val="00A22FCC"/>
    <w:rsid w:val="00A26572"/>
    <w:rsid w:val="00A30265"/>
    <w:rsid w:val="00A30398"/>
    <w:rsid w:val="00A311DE"/>
    <w:rsid w:val="00A31924"/>
    <w:rsid w:val="00A31C77"/>
    <w:rsid w:val="00A328E8"/>
    <w:rsid w:val="00A3291C"/>
    <w:rsid w:val="00A33EDD"/>
    <w:rsid w:val="00A34053"/>
    <w:rsid w:val="00A41E3B"/>
    <w:rsid w:val="00A4579B"/>
    <w:rsid w:val="00A4768B"/>
    <w:rsid w:val="00A526EA"/>
    <w:rsid w:val="00A5751C"/>
    <w:rsid w:val="00A6245E"/>
    <w:rsid w:val="00A640BB"/>
    <w:rsid w:val="00A657A5"/>
    <w:rsid w:val="00A662EC"/>
    <w:rsid w:val="00A70C8A"/>
    <w:rsid w:val="00A74B70"/>
    <w:rsid w:val="00A80D16"/>
    <w:rsid w:val="00A83FE6"/>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4311"/>
    <w:rsid w:val="00B84954"/>
    <w:rsid w:val="00B92153"/>
    <w:rsid w:val="00B92265"/>
    <w:rsid w:val="00B92422"/>
    <w:rsid w:val="00B932EA"/>
    <w:rsid w:val="00BA0E91"/>
    <w:rsid w:val="00BA4FCD"/>
    <w:rsid w:val="00BA76A8"/>
    <w:rsid w:val="00BA7B72"/>
    <w:rsid w:val="00BB0990"/>
    <w:rsid w:val="00BB21CA"/>
    <w:rsid w:val="00BB4843"/>
    <w:rsid w:val="00BC2C89"/>
    <w:rsid w:val="00BC387F"/>
    <w:rsid w:val="00BC42F2"/>
    <w:rsid w:val="00BC65BA"/>
    <w:rsid w:val="00BD0005"/>
    <w:rsid w:val="00BE0B45"/>
    <w:rsid w:val="00BE7166"/>
    <w:rsid w:val="00BE73C6"/>
    <w:rsid w:val="00BF087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4CFD"/>
    <w:rsid w:val="00C65A98"/>
    <w:rsid w:val="00C7225D"/>
    <w:rsid w:val="00C750F4"/>
    <w:rsid w:val="00C77A3A"/>
    <w:rsid w:val="00C8152F"/>
    <w:rsid w:val="00C81831"/>
    <w:rsid w:val="00C81C86"/>
    <w:rsid w:val="00C83FBD"/>
    <w:rsid w:val="00C84238"/>
    <w:rsid w:val="00C86DCE"/>
    <w:rsid w:val="00C92230"/>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6053"/>
    <w:rsid w:val="00CE72F4"/>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53580"/>
    <w:rsid w:val="00D63E00"/>
    <w:rsid w:val="00D64441"/>
    <w:rsid w:val="00D64F0D"/>
    <w:rsid w:val="00D6501D"/>
    <w:rsid w:val="00D7410F"/>
    <w:rsid w:val="00D769E6"/>
    <w:rsid w:val="00D77801"/>
    <w:rsid w:val="00D814D9"/>
    <w:rsid w:val="00D83D5C"/>
    <w:rsid w:val="00D86916"/>
    <w:rsid w:val="00D879F1"/>
    <w:rsid w:val="00D9111E"/>
    <w:rsid w:val="00D92289"/>
    <w:rsid w:val="00D970C1"/>
    <w:rsid w:val="00DA10AC"/>
    <w:rsid w:val="00DA4E7F"/>
    <w:rsid w:val="00DB0ABA"/>
    <w:rsid w:val="00DC1771"/>
    <w:rsid w:val="00DD0623"/>
    <w:rsid w:val="00DD16A0"/>
    <w:rsid w:val="00DD586F"/>
    <w:rsid w:val="00DD779A"/>
    <w:rsid w:val="00DD780C"/>
    <w:rsid w:val="00DE1C03"/>
    <w:rsid w:val="00DE3295"/>
    <w:rsid w:val="00DF1152"/>
    <w:rsid w:val="00DF615B"/>
    <w:rsid w:val="00E012B8"/>
    <w:rsid w:val="00E05C3A"/>
    <w:rsid w:val="00E078FC"/>
    <w:rsid w:val="00E1084E"/>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086"/>
    <w:rsid w:val="00E449FE"/>
    <w:rsid w:val="00E501F9"/>
    <w:rsid w:val="00E50CA2"/>
    <w:rsid w:val="00E53467"/>
    <w:rsid w:val="00E55AFC"/>
    <w:rsid w:val="00E56F0A"/>
    <w:rsid w:val="00E614F6"/>
    <w:rsid w:val="00E619F3"/>
    <w:rsid w:val="00E640C9"/>
    <w:rsid w:val="00E64F29"/>
    <w:rsid w:val="00E64FC2"/>
    <w:rsid w:val="00E6702E"/>
    <w:rsid w:val="00E7095B"/>
    <w:rsid w:val="00E70D83"/>
    <w:rsid w:val="00E72883"/>
    <w:rsid w:val="00E72907"/>
    <w:rsid w:val="00E73157"/>
    <w:rsid w:val="00E8063D"/>
    <w:rsid w:val="00E82887"/>
    <w:rsid w:val="00E84C5B"/>
    <w:rsid w:val="00E8503D"/>
    <w:rsid w:val="00E85A73"/>
    <w:rsid w:val="00E87C51"/>
    <w:rsid w:val="00E92217"/>
    <w:rsid w:val="00E94C79"/>
    <w:rsid w:val="00E97816"/>
    <w:rsid w:val="00E97C2E"/>
    <w:rsid w:val="00EA2D9D"/>
    <w:rsid w:val="00EB57F3"/>
    <w:rsid w:val="00EB71BC"/>
    <w:rsid w:val="00EC12C6"/>
    <w:rsid w:val="00EC1BE3"/>
    <w:rsid w:val="00ED016B"/>
    <w:rsid w:val="00ED1846"/>
    <w:rsid w:val="00ED5F04"/>
    <w:rsid w:val="00EE1B0E"/>
    <w:rsid w:val="00EE2B30"/>
    <w:rsid w:val="00EE5A3D"/>
    <w:rsid w:val="00EE6D76"/>
    <w:rsid w:val="00EE6F16"/>
    <w:rsid w:val="00EF0152"/>
    <w:rsid w:val="00EF73DF"/>
    <w:rsid w:val="00F01D0D"/>
    <w:rsid w:val="00F0511B"/>
    <w:rsid w:val="00F07D42"/>
    <w:rsid w:val="00F10699"/>
    <w:rsid w:val="00F10DF5"/>
    <w:rsid w:val="00F14525"/>
    <w:rsid w:val="00F15BB7"/>
    <w:rsid w:val="00F17D9C"/>
    <w:rsid w:val="00F222AC"/>
    <w:rsid w:val="00F30182"/>
    <w:rsid w:val="00F37C3F"/>
    <w:rsid w:val="00F43F98"/>
    <w:rsid w:val="00F478E6"/>
    <w:rsid w:val="00F47A24"/>
    <w:rsid w:val="00F47F80"/>
    <w:rsid w:val="00F5064A"/>
    <w:rsid w:val="00F5264E"/>
    <w:rsid w:val="00F54850"/>
    <w:rsid w:val="00F666CE"/>
    <w:rsid w:val="00F77E85"/>
    <w:rsid w:val="00F83732"/>
    <w:rsid w:val="00F841A0"/>
    <w:rsid w:val="00F85458"/>
    <w:rsid w:val="00F857FD"/>
    <w:rsid w:val="00F8649D"/>
    <w:rsid w:val="00F908FD"/>
    <w:rsid w:val="00F91B58"/>
    <w:rsid w:val="00F943C5"/>
    <w:rsid w:val="00FA5D80"/>
    <w:rsid w:val="00FA74E6"/>
    <w:rsid w:val="00FB08CB"/>
    <w:rsid w:val="00FB18FF"/>
    <w:rsid w:val="00FB2AE0"/>
    <w:rsid w:val="00FD3CAC"/>
    <w:rsid w:val="00FD49EB"/>
    <w:rsid w:val="00FD5CE1"/>
    <w:rsid w:val="00FD6E9B"/>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DDCA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customStyle="1" w:styleId="LogoportMarkup">
    <w:name w:val="LogoportMarkup"/>
    <w:basedOn w:val="DefaultParagraphFont"/>
    <w:rsid w:val="00BA7B72"/>
    <w:rPr>
      <w:rFonts w:ascii="Courier New" w:hAnsi="Courier New" w:cs="Courier New"/>
      <w:color w:val="FF0000"/>
      <w:sz w:val="20"/>
      <w:szCs w:val="20"/>
    </w:rPr>
  </w:style>
  <w:style w:type="character" w:customStyle="1" w:styleId="LogoportDoNotTranslate">
    <w:name w:val="LogoportDoNotTranslate"/>
    <w:basedOn w:val="DefaultParagraphFont"/>
    <w:rsid w:val="00BA7B72"/>
    <w:rPr>
      <w:rFonts w:ascii="Courier New" w:hAnsi="Courier New" w:cs="Courier New"/>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85195">
      <w:marLeft w:val="0"/>
      <w:marRight w:val="0"/>
      <w:marTop w:val="0"/>
      <w:marBottom w:val="0"/>
      <w:divBdr>
        <w:top w:val="none" w:sz="0" w:space="0" w:color="auto"/>
        <w:left w:val="none" w:sz="0" w:space="0" w:color="auto"/>
        <w:bottom w:val="none" w:sz="0" w:space="0" w:color="auto"/>
        <w:right w:val="none" w:sz="0" w:space="0" w:color="auto"/>
      </w:divBdr>
    </w:div>
    <w:div w:id="1773085196">
      <w:marLeft w:val="0"/>
      <w:marRight w:val="0"/>
      <w:marTop w:val="0"/>
      <w:marBottom w:val="0"/>
      <w:divBdr>
        <w:top w:val="none" w:sz="0" w:space="0" w:color="auto"/>
        <w:left w:val="none" w:sz="0" w:space="0" w:color="auto"/>
        <w:bottom w:val="none" w:sz="0" w:space="0" w:color="auto"/>
        <w:right w:val="none" w:sz="0" w:space="0" w:color="auto"/>
      </w:divBdr>
    </w:div>
    <w:div w:id="1773085204">
      <w:marLeft w:val="0"/>
      <w:marRight w:val="0"/>
      <w:marTop w:val="0"/>
      <w:marBottom w:val="0"/>
      <w:divBdr>
        <w:top w:val="none" w:sz="0" w:space="0" w:color="auto"/>
        <w:left w:val="none" w:sz="0" w:space="0" w:color="auto"/>
        <w:bottom w:val="none" w:sz="0" w:space="0" w:color="auto"/>
        <w:right w:val="none" w:sz="0" w:space="0" w:color="auto"/>
      </w:divBdr>
    </w:div>
    <w:div w:id="1773085205">
      <w:marLeft w:val="0"/>
      <w:marRight w:val="0"/>
      <w:marTop w:val="0"/>
      <w:marBottom w:val="0"/>
      <w:divBdr>
        <w:top w:val="none" w:sz="0" w:space="0" w:color="auto"/>
        <w:left w:val="none" w:sz="0" w:space="0" w:color="auto"/>
        <w:bottom w:val="none" w:sz="0" w:space="0" w:color="auto"/>
        <w:right w:val="none" w:sz="0" w:space="0" w:color="auto"/>
      </w:divBdr>
    </w:div>
    <w:div w:id="1773085206">
      <w:marLeft w:val="0"/>
      <w:marRight w:val="0"/>
      <w:marTop w:val="0"/>
      <w:marBottom w:val="0"/>
      <w:divBdr>
        <w:top w:val="none" w:sz="0" w:space="0" w:color="auto"/>
        <w:left w:val="none" w:sz="0" w:space="0" w:color="auto"/>
        <w:bottom w:val="none" w:sz="0" w:space="0" w:color="auto"/>
        <w:right w:val="none" w:sz="0" w:space="0" w:color="auto"/>
      </w:divBdr>
    </w:div>
    <w:div w:id="1773085207">
      <w:marLeft w:val="0"/>
      <w:marRight w:val="0"/>
      <w:marTop w:val="0"/>
      <w:marBottom w:val="0"/>
      <w:divBdr>
        <w:top w:val="none" w:sz="0" w:space="0" w:color="auto"/>
        <w:left w:val="none" w:sz="0" w:space="0" w:color="auto"/>
        <w:bottom w:val="none" w:sz="0" w:space="0" w:color="auto"/>
        <w:right w:val="none" w:sz="0" w:space="0" w:color="auto"/>
      </w:divBdr>
    </w:div>
    <w:div w:id="1773085208">
      <w:marLeft w:val="0"/>
      <w:marRight w:val="0"/>
      <w:marTop w:val="0"/>
      <w:marBottom w:val="0"/>
      <w:divBdr>
        <w:top w:val="none" w:sz="0" w:space="0" w:color="auto"/>
        <w:left w:val="none" w:sz="0" w:space="0" w:color="auto"/>
        <w:bottom w:val="none" w:sz="0" w:space="0" w:color="auto"/>
        <w:right w:val="none" w:sz="0" w:space="0" w:color="auto"/>
      </w:divBdr>
    </w:div>
    <w:div w:id="1773085209">
      <w:marLeft w:val="0"/>
      <w:marRight w:val="0"/>
      <w:marTop w:val="0"/>
      <w:marBottom w:val="0"/>
      <w:divBdr>
        <w:top w:val="none" w:sz="0" w:space="0" w:color="auto"/>
        <w:left w:val="none" w:sz="0" w:space="0" w:color="auto"/>
        <w:bottom w:val="none" w:sz="0" w:space="0" w:color="auto"/>
        <w:right w:val="none" w:sz="0" w:space="0" w:color="auto"/>
      </w:divBdr>
    </w:div>
    <w:div w:id="1773085210">
      <w:marLeft w:val="0"/>
      <w:marRight w:val="0"/>
      <w:marTop w:val="0"/>
      <w:marBottom w:val="0"/>
      <w:divBdr>
        <w:top w:val="none" w:sz="0" w:space="0" w:color="auto"/>
        <w:left w:val="none" w:sz="0" w:space="0" w:color="auto"/>
        <w:bottom w:val="none" w:sz="0" w:space="0" w:color="auto"/>
        <w:right w:val="none" w:sz="0" w:space="0" w:color="auto"/>
      </w:divBdr>
    </w:div>
    <w:div w:id="1773085211">
      <w:marLeft w:val="0"/>
      <w:marRight w:val="0"/>
      <w:marTop w:val="0"/>
      <w:marBottom w:val="0"/>
      <w:divBdr>
        <w:top w:val="none" w:sz="0" w:space="0" w:color="auto"/>
        <w:left w:val="none" w:sz="0" w:space="0" w:color="auto"/>
        <w:bottom w:val="none" w:sz="0" w:space="0" w:color="auto"/>
        <w:right w:val="none" w:sz="0" w:space="0" w:color="auto"/>
      </w:divBdr>
    </w:div>
    <w:div w:id="1773085212">
      <w:marLeft w:val="0"/>
      <w:marRight w:val="0"/>
      <w:marTop w:val="0"/>
      <w:marBottom w:val="0"/>
      <w:divBdr>
        <w:top w:val="none" w:sz="0" w:space="0" w:color="auto"/>
        <w:left w:val="none" w:sz="0" w:space="0" w:color="auto"/>
        <w:bottom w:val="none" w:sz="0" w:space="0" w:color="auto"/>
        <w:right w:val="none" w:sz="0" w:space="0" w:color="auto"/>
      </w:divBdr>
    </w:div>
    <w:div w:id="1773085213">
      <w:marLeft w:val="0"/>
      <w:marRight w:val="0"/>
      <w:marTop w:val="0"/>
      <w:marBottom w:val="0"/>
      <w:divBdr>
        <w:top w:val="none" w:sz="0" w:space="0" w:color="auto"/>
        <w:left w:val="none" w:sz="0" w:space="0" w:color="auto"/>
        <w:bottom w:val="none" w:sz="0" w:space="0" w:color="auto"/>
        <w:right w:val="none" w:sz="0" w:space="0" w:color="auto"/>
      </w:divBdr>
    </w:div>
    <w:div w:id="1773085214">
      <w:marLeft w:val="0"/>
      <w:marRight w:val="0"/>
      <w:marTop w:val="0"/>
      <w:marBottom w:val="0"/>
      <w:divBdr>
        <w:top w:val="none" w:sz="0" w:space="0" w:color="auto"/>
        <w:left w:val="none" w:sz="0" w:space="0" w:color="auto"/>
        <w:bottom w:val="none" w:sz="0" w:space="0" w:color="auto"/>
        <w:right w:val="none" w:sz="0" w:space="0" w:color="auto"/>
      </w:divBdr>
    </w:div>
    <w:div w:id="1773085215">
      <w:marLeft w:val="0"/>
      <w:marRight w:val="0"/>
      <w:marTop w:val="0"/>
      <w:marBottom w:val="0"/>
      <w:divBdr>
        <w:top w:val="none" w:sz="0" w:space="0" w:color="auto"/>
        <w:left w:val="none" w:sz="0" w:space="0" w:color="auto"/>
        <w:bottom w:val="none" w:sz="0" w:space="0" w:color="auto"/>
        <w:right w:val="none" w:sz="0" w:space="0" w:color="auto"/>
      </w:divBdr>
    </w:div>
    <w:div w:id="1773085216">
      <w:marLeft w:val="0"/>
      <w:marRight w:val="0"/>
      <w:marTop w:val="0"/>
      <w:marBottom w:val="0"/>
      <w:divBdr>
        <w:top w:val="none" w:sz="0" w:space="0" w:color="auto"/>
        <w:left w:val="none" w:sz="0" w:space="0" w:color="auto"/>
        <w:bottom w:val="none" w:sz="0" w:space="0" w:color="auto"/>
        <w:right w:val="none" w:sz="0" w:space="0" w:color="auto"/>
      </w:divBdr>
    </w:div>
    <w:div w:id="1773085217">
      <w:marLeft w:val="0"/>
      <w:marRight w:val="0"/>
      <w:marTop w:val="0"/>
      <w:marBottom w:val="0"/>
      <w:divBdr>
        <w:top w:val="none" w:sz="0" w:space="0" w:color="auto"/>
        <w:left w:val="none" w:sz="0" w:space="0" w:color="auto"/>
        <w:bottom w:val="none" w:sz="0" w:space="0" w:color="auto"/>
        <w:right w:val="none" w:sz="0" w:space="0" w:color="auto"/>
      </w:divBdr>
    </w:div>
    <w:div w:id="1773085218">
      <w:marLeft w:val="0"/>
      <w:marRight w:val="0"/>
      <w:marTop w:val="0"/>
      <w:marBottom w:val="0"/>
      <w:divBdr>
        <w:top w:val="none" w:sz="0" w:space="0" w:color="auto"/>
        <w:left w:val="none" w:sz="0" w:space="0" w:color="auto"/>
        <w:bottom w:val="none" w:sz="0" w:space="0" w:color="auto"/>
        <w:right w:val="none" w:sz="0" w:space="0" w:color="auto"/>
      </w:divBdr>
    </w:div>
    <w:div w:id="1773085219">
      <w:marLeft w:val="0"/>
      <w:marRight w:val="0"/>
      <w:marTop w:val="0"/>
      <w:marBottom w:val="0"/>
      <w:divBdr>
        <w:top w:val="none" w:sz="0" w:space="0" w:color="auto"/>
        <w:left w:val="none" w:sz="0" w:space="0" w:color="auto"/>
        <w:bottom w:val="none" w:sz="0" w:space="0" w:color="auto"/>
        <w:right w:val="none" w:sz="0" w:space="0" w:color="auto"/>
      </w:divBdr>
    </w:div>
    <w:div w:id="1773085220">
      <w:marLeft w:val="0"/>
      <w:marRight w:val="0"/>
      <w:marTop w:val="0"/>
      <w:marBottom w:val="0"/>
      <w:divBdr>
        <w:top w:val="none" w:sz="0" w:space="0" w:color="auto"/>
        <w:left w:val="none" w:sz="0" w:space="0" w:color="auto"/>
        <w:bottom w:val="none" w:sz="0" w:space="0" w:color="auto"/>
        <w:right w:val="none" w:sz="0" w:space="0" w:color="auto"/>
      </w:divBdr>
    </w:div>
    <w:div w:id="1773085221">
      <w:marLeft w:val="0"/>
      <w:marRight w:val="0"/>
      <w:marTop w:val="0"/>
      <w:marBottom w:val="0"/>
      <w:divBdr>
        <w:top w:val="none" w:sz="0" w:space="0" w:color="auto"/>
        <w:left w:val="none" w:sz="0" w:space="0" w:color="auto"/>
        <w:bottom w:val="none" w:sz="0" w:space="0" w:color="auto"/>
        <w:right w:val="none" w:sz="0" w:space="0" w:color="auto"/>
      </w:divBdr>
    </w:div>
    <w:div w:id="1773085222">
      <w:marLeft w:val="0"/>
      <w:marRight w:val="0"/>
      <w:marTop w:val="0"/>
      <w:marBottom w:val="0"/>
      <w:divBdr>
        <w:top w:val="none" w:sz="0" w:space="0" w:color="auto"/>
        <w:left w:val="none" w:sz="0" w:space="0" w:color="auto"/>
        <w:bottom w:val="none" w:sz="0" w:space="0" w:color="auto"/>
        <w:right w:val="none" w:sz="0" w:space="0" w:color="auto"/>
      </w:divBdr>
    </w:div>
    <w:div w:id="1773085223">
      <w:marLeft w:val="0"/>
      <w:marRight w:val="0"/>
      <w:marTop w:val="0"/>
      <w:marBottom w:val="0"/>
      <w:divBdr>
        <w:top w:val="none" w:sz="0" w:space="0" w:color="auto"/>
        <w:left w:val="none" w:sz="0" w:space="0" w:color="auto"/>
        <w:bottom w:val="none" w:sz="0" w:space="0" w:color="auto"/>
        <w:right w:val="none" w:sz="0" w:space="0" w:color="auto"/>
      </w:divBdr>
    </w:div>
    <w:div w:id="1773085238">
      <w:marLeft w:val="0"/>
      <w:marRight w:val="0"/>
      <w:marTop w:val="0"/>
      <w:marBottom w:val="0"/>
      <w:divBdr>
        <w:top w:val="none" w:sz="0" w:space="0" w:color="auto"/>
        <w:left w:val="none" w:sz="0" w:space="0" w:color="auto"/>
        <w:bottom w:val="none" w:sz="0" w:space="0" w:color="auto"/>
        <w:right w:val="none" w:sz="0" w:space="0" w:color="auto"/>
      </w:divBdr>
      <w:divsChild>
        <w:div w:id="1773085198">
          <w:marLeft w:val="0"/>
          <w:marRight w:val="0"/>
          <w:marTop w:val="0"/>
          <w:marBottom w:val="0"/>
          <w:divBdr>
            <w:top w:val="none" w:sz="0" w:space="0" w:color="auto"/>
            <w:left w:val="none" w:sz="0" w:space="0" w:color="auto"/>
            <w:bottom w:val="none" w:sz="0" w:space="0" w:color="auto"/>
            <w:right w:val="none" w:sz="0" w:space="0" w:color="auto"/>
          </w:divBdr>
        </w:div>
        <w:div w:id="1773085227">
          <w:marLeft w:val="0"/>
          <w:marRight w:val="0"/>
          <w:marTop w:val="0"/>
          <w:marBottom w:val="0"/>
          <w:divBdr>
            <w:top w:val="none" w:sz="0" w:space="0" w:color="auto"/>
            <w:left w:val="none" w:sz="0" w:space="0" w:color="auto"/>
            <w:bottom w:val="none" w:sz="0" w:space="0" w:color="auto"/>
            <w:right w:val="none" w:sz="0" w:space="0" w:color="auto"/>
          </w:divBdr>
        </w:div>
      </w:divsChild>
    </w:div>
    <w:div w:id="1773085240">
      <w:marLeft w:val="0"/>
      <w:marRight w:val="0"/>
      <w:marTop w:val="0"/>
      <w:marBottom w:val="0"/>
      <w:divBdr>
        <w:top w:val="none" w:sz="0" w:space="0" w:color="auto"/>
        <w:left w:val="none" w:sz="0" w:space="0" w:color="auto"/>
        <w:bottom w:val="none" w:sz="0" w:space="0" w:color="auto"/>
        <w:right w:val="none" w:sz="0" w:space="0" w:color="auto"/>
      </w:divBdr>
      <w:divsChild>
        <w:div w:id="1773085237">
          <w:marLeft w:val="0"/>
          <w:marRight w:val="0"/>
          <w:marTop w:val="0"/>
          <w:marBottom w:val="0"/>
          <w:divBdr>
            <w:top w:val="none" w:sz="0" w:space="0" w:color="auto"/>
            <w:left w:val="none" w:sz="0" w:space="0" w:color="auto"/>
            <w:bottom w:val="none" w:sz="0" w:space="0" w:color="auto"/>
            <w:right w:val="none" w:sz="0" w:space="0" w:color="auto"/>
          </w:divBdr>
          <w:divsChild>
            <w:div w:id="1773085231">
              <w:marLeft w:val="0"/>
              <w:marRight w:val="0"/>
              <w:marTop w:val="0"/>
              <w:marBottom w:val="0"/>
              <w:divBdr>
                <w:top w:val="none" w:sz="0" w:space="0" w:color="auto"/>
                <w:left w:val="none" w:sz="0" w:space="0" w:color="auto"/>
                <w:bottom w:val="none" w:sz="0" w:space="0" w:color="auto"/>
                <w:right w:val="none" w:sz="0" w:space="0" w:color="auto"/>
              </w:divBdr>
              <w:divsChild>
                <w:div w:id="1773085203">
                  <w:marLeft w:val="0"/>
                  <w:marRight w:val="0"/>
                  <w:marTop w:val="0"/>
                  <w:marBottom w:val="0"/>
                  <w:divBdr>
                    <w:top w:val="none" w:sz="0" w:space="0" w:color="auto"/>
                    <w:left w:val="none" w:sz="0" w:space="0" w:color="auto"/>
                    <w:bottom w:val="none" w:sz="0" w:space="0" w:color="auto"/>
                    <w:right w:val="none" w:sz="0" w:space="0" w:color="auto"/>
                  </w:divBdr>
                  <w:divsChild>
                    <w:div w:id="1773085243">
                      <w:marLeft w:val="2325"/>
                      <w:marRight w:val="0"/>
                      <w:marTop w:val="0"/>
                      <w:marBottom w:val="0"/>
                      <w:divBdr>
                        <w:top w:val="none" w:sz="0" w:space="0" w:color="auto"/>
                        <w:left w:val="none" w:sz="0" w:space="0" w:color="auto"/>
                        <w:bottom w:val="none" w:sz="0" w:space="0" w:color="auto"/>
                        <w:right w:val="none" w:sz="0" w:space="0" w:color="auto"/>
                      </w:divBdr>
                      <w:divsChild>
                        <w:div w:id="1773085236">
                          <w:marLeft w:val="0"/>
                          <w:marRight w:val="0"/>
                          <w:marTop w:val="0"/>
                          <w:marBottom w:val="0"/>
                          <w:divBdr>
                            <w:top w:val="none" w:sz="0" w:space="0" w:color="auto"/>
                            <w:left w:val="none" w:sz="0" w:space="0" w:color="auto"/>
                            <w:bottom w:val="none" w:sz="0" w:space="0" w:color="auto"/>
                            <w:right w:val="none" w:sz="0" w:space="0" w:color="auto"/>
                          </w:divBdr>
                          <w:divsChild>
                            <w:div w:id="1773085232">
                              <w:marLeft w:val="0"/>
                              <w:marRight w:val="0"/>
                              <w:marTop w:val="0"/>
                              <w:marBottom w:val="0"/>
                              <w:divBdr>
                                <w:top w:val="none" w:sz="0" w:space="0" w:color="auto"/>
                                <w:left w:val="none" w:sz="0" w:space="0" w:color="auto"/>
                                <w:bottom w:val="none" w:sz="0" w:space="0" w:color="auto"/>
                                <w:right w:val="none" w:sz="0" w:space="0" w:color="auto"/>
                              </w:divBdr>
                              <w:divsChild>
                                <w:div w:id="1773085230">
                                  <w:marLeft w:val="0"/>
                                  <w:marRight w:val="0"/>
                                  <w:marTop w:val="0"/>
                                  <w:marBottom w:val="0"/>
                                  <w:divBdr>
                                    <w:top w:val="none" w:sz="0" w:space="0" w:color="auto"/>
                                    <w:left w:val="none" w:sz="0" w:space="0" w:color="auto"/>
                                    <w:bottom w:val="none" w:sz="0" w:space="0" w:color="auto"/>
                                    <w:right w:val="none" w:sz="0" w:space="0" w:color="auto"/>
                                  </w:divBdr>
                                  <w:divsChild>
                                    <w:div w:id="1773085229">
                                      <w:marLeft w:val="0"/>
                                      <w:marRight w:val="0"/>
                                      <w:marTop w:val="0"/>
                                      <w:marBottom w:val="0"/>
                                      <w:divBdr>
                                        <w:top w:val="none" w:sz="0" w:space="0" w:color="auto"/>
                                        <w:left w:val="none" w:sz="0" w:space="0" w:color="auto"/>
                                        <w:bottom w:val="none" w:sz="0" w:space="0" w:color="auto"/>
                                        <w:right w:val="none" w:sz="0" w:space="0" w:color="auto"/>
                                      </w:divBdr>
                                      <w:divsChild>
                                        <w:div w:id="1773085235">
                                          <w:marLeft w:val="0"/>
                                          <w:marRight w:val="0"/>
                                          <w:marTop w:val="0"/>
                                          <w:marBottom w:val="0"/>
                                          <w:divBdr>
                                            <w:top w:val="none" w:sz="0" w:space="0" w:color="auto"/>
                                            <w:left w:val="none" w:sz="0" w:space="0" w:color="auto"/>
                                            <w:bottom w:val="none" w:sz="0" w:space="0" w:color="auto"/>
                                            <w:right w:val="none" w:sz="0" w:space="0" w:color="auto"/>
                                          </w:divBdr>
                                          <w:divsChild>
                                            <w:div w:id="1773085202">
                                              <w:marLeft w:val="0"/>
                                              <w:marRight w:val="0"/>
                                              <w:marTop w:val="0"/>
                                              <w:marBottom w:val="0"/>
                                              <w:divBdr>
                                                <w:top w:val="none" w:sz="0" w:space="0" w:color="auto"/>
                                                <w:left w:val="none" w:sz="0" w:space="0" w:color="auto"/>
                                                <w:bottom w:val="none" w:sz="0" w:space="0" w:color="auto"/>
                                                <w:right w:val="none" w:sz="0" w:space="0" w:color="auto"/>
                                              </w:divBdr>
                                              <w:divsChild>
                                                <w:div w:id="1773085226">
                                                  <w:marLeft w:val="0"/>
                                                  <w:marRight w:val="0"/>
                                                  <w:marTop w:val="0"/>
                                                  <w:marBottom w:val="0"/>
                                                  <w:divBdr>
                                                    <w:top w:val="none" w:sz="0" w:space="0" w:color="auto"/>
                                                    <w:left w:val="none" w:sz="0" w:space="0" w:color="auto"/>
                                                    <w:bottom w:val="none" w:sz="0" w:space="0" w:color="auto"/>
                                                    <w:right w:val="none" w:sz="0" w:space="0" w:color="auto"/>
                                                  </w:divBdr>
                                                  <w:divsChild>
                                                    <w:div w:id="1773085233">
                                                      <w:marLeft w:val="0"/>
                                                      <w:marRight w:val="0"/>
                                                      <w:marTop w:val="0"/>
                                                      <w:marBottom w:val="0"/>
                                                      <w:divBdr>
                                                        <w:top w:val="none" w:sz="0" w:space="0" w:color="auto"/>
                                                        <w:left w:val="none" w:sz="0" w:space="0" w:color="auto"/>
                                                        <w:bottom w:val="none" w:sz="0" w:space="0" w:color="auto"/>
                                                        <w:right w:val="none" w:sz="0" w:space="0" w:color="auto"/>
                                                      </w:divBdr>
                                                      <w:divsChild>
                                                        <w:div w:id="1773085239">
                                                          <w:marLeft w:val="0"/>
                                                          <w:marRight w:val="0"/>
                                                          <w:marTop w:val="15"/>
                                                          <w:marBottom w:val="15"/>
                                                          <w:divBdr>
                                                            <w:top w:val="none" w:sz="0" w:space="0" w:color="auto"/>
                                                            <w:left w:val="none" w:sz="0" w:space="0" w:color="auto"/>
                                                            <w:bottom w:val="none" w:sz="0" w:space="0" w:color="auto"/>
                                                            <w:right w:val="none" w:sz="0" w:space="0" w:color="auto"/>
                                                          </w:divBdr>
                                                          <w:divsChild>
                                                            <w:div w:id="1773085225">
                                                              <w:marLeft w:val="0"/>
                                                              <w:marRight w:val="0"/>
                                                              <w:marTop w:val="0"/>
                                                              <w:marBottom w:val="0"/>
                                                              <w:divBdr>
                                                                <w:top w:val="none" w:sz="0" w:space="0" w:color="auto"/>
                                                                <w:left w:val="none" w:sz="0" w:space="0" w:color="auto"/>
                                                                <w:bottom w:val="none" w:sz="0" w:space="0" w:color="auto"/>
                                                                <w:right w:val="none" w:sz="0" w:space="0" w:color="auto"/>
                                                              </w:divBdr>
                                                              <w:divsChild>
                                                                <w:div w:id="1773085234">
                                                                  <w:marLeft w:val="0"/>
                                                                  <w:marRight w:val="0"/>
                                                                  <w:marTop w:val="0"/>
                                                                  <w:marBottom w:val="0"/>
                                                                  <w:divBdr>
                                                                    <w:top w:val="none" w:sz="0" w:space="0" w:color="auto"/>
                                                                    <w:left w:val="none" w:sz="0" w:space="0" w:color="auto"/>
                                                                    <w:bottom w:val="none" w:sz="0" w:space="0" w:color="auto"/>
                                                                    <w:right w:val="none" w:sz="0" w:space="0" w:color="auto"/>
                                                                  </w:divBdr>
                                                                  <w:divsChild>
                                                                    <w:div w:id="1773085224">
                                                                      <w:marLeft w:val="0"/>
                                                                      <w:marRight w:val="0"/>
                                                                      <w:marTop w:val="0"/>
                                                                      <w:marBottom w:val="0"/>
                                                                      <w:divBdr>
                                                                        <w:top w:val="none" w:sz="0" w:space="0" w:color="auto"/>
                                                                        <w:left w:val="none" w:sz="0" w:space="0" w:color="auto"/>
                                                                        <w:bottom w:val="none" w:sz="0" w:space="0" w:color="auto"/>
                                                                        <w:right w:val="none" w:sz="0" w:space="0" w:color="auto"/>
                                                                      </w:divBdr>
                                                                      <w:divsChild>
                                                                        <w:div w:id="1773085200">
                                                                          <w:marLeft w:val="0"/>
                                                                          <w:marRight w:val="0"/>
                                                                          <w:marTop w:val="0"/>
                                                                          <w:marBottom w:val="0"/>
                                                                          <w:divBdr>
                                                                            <w:top w:val="none" w:sz="0" w:space="0" w:color="auto"/>
                                                                            <w:left w:val="none" w:sz="0" w:space="0" w:color="auto"/>
                                                                            <w:bottom w:val="none" w:sz="0" w:space="0" w:color="auto"/>
                                                                            <w:right w:val="none" w:sz="0" w:space="0" w:color="auto"/>
                                                                          </w:divBdr>
                                                                          <w:divsChild>
                                                                            <w:div w:id="1773085201">
                                                                              <w:marLeft w:val="0"/>
                                                                              <w:marRight w:val="0"/>
                                                                              <w:marTop w:val="0"/>
                                                                              <w:marBottom w:val="0"/>
                                                                              <w:divBdr>
                                                                                <w:top w:val="none" w:sz="0" w:space="0" w:color="auto"/>
                                                                                <w:left w:val="none" w:sz="0" w:space="0" w:color="auto"/>
                                                                                <w:bottom w:val="none" w:sz="0" w:space="0" w:color="auto"/>
                                                                                <w:right w:val="none" w:sz="0" w:space="0" w:color="auto"/>
                                                                              </w:divBdr>
                                                                              <w:divsChild>
                                                                                <w:div w:id="1773085246">
                                                                                  <w:marLeft w:val="0"/>
                                                                                  <w:marRight w:val="0"/>
                                                                                  <w:marTop w:val="0"/>
                                                                                  <w:marBottom w:val="0"/>
                                                                                  <w:divBdr>
                                                                                    <w:top w:val="none" w:sz="0" w:space="0" w:color="auto"/>
                                                                                    <w:left w:val="none" w:sz="0" w:space="0" w:color="auto"/>
                                                                                    <w:bottom w:val="none" w:sz="0" w:space="0" w:color="auto"/>
                                                                                    <w:right w:val="none" w:sz="0" w:space="0" w:color="auto"/>
                                                                                  </w:divBdr>
                                                                                  <w:divsChild>
                                                                                    <w:div w:id="1773085197">
                                                                                      <w:marLeft w:val="0"/>
                                                                                      <w:marRight w:val="0"/>
                                                                                      <w:marTop w:val="0"/>
                                                                                      <w:marBottom w:val="0"/>
                                                                                      <w:divBdr>
                                                                                        <w:top w:val="none" w:sz="0" w:space="0" w:color="auto"/>
                                                                                        <w:left w:val="none" w:sz="0" w:space="0" w:color="auto"/>
                                                                                        <w:bottom w:val="none" w:sz="0" w:space="0" w:color="auto"/>
                                                                                        <w:right w:val="none" w:sz="0" w:space="0" w:color="auto"/>
                                                                                      </w:divBdr>
                                                                                    </w:div>
                                                                                    <w:div w:id="1773085199">
                                                                                      <w:marLeft w:val="0"/>
                                                                                      <w:marRight w:val="0"/>
                                                                                      <w:marTop w:val="0"/>
                                                                                      <w:marBottom w:val="0"/>
                                                                                      <w:divBdr>
                                                                                        <w:top w:val="none" w:sz="0" w:space="0" w:color="auto"/>
                                                                                        <w:left w:val="none" w:sz="0" w:space="0" w:color="auto"/>
                                                                                        <w:bottom w:val="none" w:sz="0" w:space="0" w:color="auto"/>
                                                                                        <w:right w:val="none" w:sz="0" w:space="0" w:color="auto"/>
                                                                                      </w:divBdr>
                                                                                    </w:div>
                                                                                    <w:div w:id="1773085228">
                                                                                      <w:marLeft w:val="0"/>
                                                                                      <w:marRight w:val="0"/>
                                                                                      <w:marTop w:val="0"/>
                                                                                      <w:marBottom w:val="0"/>
                                                                                      <w:divBdr>
                                                                                        <w:top w:val="none" w:sz="0" w:space="0" w:color="auto"/>
                                                                                        <w:left w:val="none" w:sz="0" w:space="0" w:color="auto"/>
                                                                                        <w:bottom w:val="none" w:sz="0" w:space="0" w:color="auto"/>
                                                                                        <w:right w:val="none" w:sz="0" w:space="0" w:color="auto"/>
                                                                                      </w:divBdr>
                                                                                    </w:div>
                                                                                    <w:div w:id="1773085241">
                                                                                      <w:marLeft w:val="0"/>
                                                                                      <w:marRight w:val="0"/>
                                                                                      <w:marTop w:val="0"/>
                                                                                      <w:marBottom w:val="0"/>
                                                                                      <w:divBdr>
                                                                                        <w:top w:val="none" w:sz="0" w:space="0" w:color="auto"/>
                                                                                        <w:left w:val="none" w:sz="0" w:space="0" w:color="auto"/>
                                                                                        <w:bottom w:val="none" w:sz="0" w:space="0" w:color="auto"/>
                                                                                        <w:right w:val="none" w:sz="0" w:space="0" w:color="auto"/>
                                                                                      </w:divBdr>
                                                                                    </w:div>
                                                                                    <w:div w:id="1773085242">
                                                                                      <w:marLeft w:val="0"/>
                                                                                      <w:marRight w:val="0"/>
                                                                                      <w:marTop w:val="0"/>
                                                                                      <w:marBottom w:val="0"/>
                                                                                      <w:divBdr>
                                                                                        <w:top w:val="none" w:sz="0" w:space="0" w:color="auto"/>
                                                                                        <w:left w:val="none" w:sz="0" w:space="0" w:color="auto"/>
                                                                                        <w:bottom w:val="none" w:sz="0" w:space="0" w:color="auto"/>
                                                                                        <w:right w:val="none" w:sz="0" w:space="0" w:color="auto"/>
                                                                                      </w:divBdr>
                                                                                    </w:div>
                                                                                    <w:div w:id="1773085244">
                                                                                      <w:marLeft w:val="0"/>
                                                                                      <w:marRight w:val="0"/>
                                                                                      <w:marTop w:val="0"/>
                                                                                      <w:marBottom w:val="0"/>
                                                                                      <w:divBdr>
                                                                                        <w:top w:val="none" w:sz="0" w:space="0" w:color="auto"/>
                                                                                        <w:left w:val="none" w:sz="0" w:space="0" w:color="auto"/>
                                                                                        <w:bottom w:val="none" w:sz="0" w:space="0" w:color="auto"/>
                                                                                        <w:right w:val="none" w:sz="0" w:space="0" w:color="auto"/>
                                                                                      </w:divBdr>
                                                                                    </w:div>
                                                                                    <w:div w:id="17730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085247">
      <w:marLeft w:val="0"/>
      <w:marRight w:val="0"/>
      <w:marTop w:val="0"/>
      <w:marBottom w:val="0"/>
      <w:divBdr>
        <w:top w:val="none" w:sz="0" w:space="0" w:color="auto"/>
        <w:left w:val="none" w:sz="0" w:space="0" w:color="auto"/>
        <w:bottom w:val="none" w:sz="0" w:space="0" w:color="auto"/>
        <w:right w:val="none" w:sz="0" w:space="0" w:color="auto"/>
      </w:divBdr>
    </w:div>
    <w:div w:id="1773085248">
      <w:marLeft w:val="0"/>
      <w:marRight w:val="0"/>
      <w:marTop w:val="0"/>
      <w:marBottom w:val="0"/>
      <w:divBdr>
        <w:top w:val="none" w:sz="0" w:space="0" w:color="auto"/>
        <w:left w:val="none" w:sz="0" w:space="0" w:color="auto"/>
        <w:bottom w:val="none" w:sz="0" w:space="0" w:color="auto"/>
        <w:right w:val="none" w:sz="0" w:space="0" w:color="auto"/>
      </w:divBdr>
    </w:div>
    <w:div w:id="1773085249">
      <w:marLeft w:val="0"/>
      <w:marRight w:val="0"/>
      <w:marTop w:val="0"/>
      <w:marBottom w:val="0"/>
      <w:divBdr>
        <w:top w:val="none" w:sz="0" w:space="0" w:color="auto"/>
        <w:left w:val="none" w:sz="0" w:space="0" w:color="auto"/>
        <w:bottom w:val="none" w:sz="0" w:space="0" w:color="auto"/>
        <w:right w:val="none" w:sz="0" w:space="0" w:color="auto"/>
      </w:divBdr>
    </w:div>
    <w:div w:id="1773085250">
      <w:marLeft w:val="0"/>
      <w:marRight w:val="0"/>
      <w:marTop w:val="0"/>
      <w:marBottom w:val="0"/>
      <w:divBdr>
        <w:top w:val="none" w:sz="0" w:space="0" w:color="auto"/>
        <w:left w:val="none" w:sz="0" w:space="0" w:color="auto"/>
        <w:bottom w:val="none" w:sz="0" w:space="0" w:color="auto"/>
        <w:right w:val="none" w:sz="0" w:space="0" w:color="auto"/>
      </w:divBdr>
    </w:div>
    <w:div w:id="20654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s://support.microsof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xport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owtotel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microsoft.com/fwlink/?LinkId=39850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4596</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2017-10-12T07:55:00Z</dcterms:created>
  <dcterms:modified xsi:type="dcterms:W3CDTF">2017-10-18T19:50:00Z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jominana@microsoft.com</vt:lpwstr>
  </property>
  <property fmtid="{D5CDD505-2E9C-101B-9397-08002B2CF9AE}" pid="6" name="MSIP_Label_f42aa342-8706-4288-bd11-ebb85995028c_SetDate">
    <vt:lpwstr>2017-10-18T12:50:53.8178237-07:00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