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E9" w:rsidRPr="00BA7B72" w:rsidRDefault="003C2DE9" w:rsidP="005A2950">
      <w:pPr>
        <w:pStyle w:val="HeadingEULA"/>
      </w:pPr>
      <w:r>
        <w:rPr>
          <w:sz w:val="20"/>
          <w:szCs w:val="20"/>
        </w:rPr>
        <w:t>POSTANOWIENIA LICENCYJNE DOTYCZĄCE OPROGRAMOWANIA MICROSOFT</w:t>
      </w:r>
    </w:p>
    <w:p w:rsidR="00F14525" w:rsidRPr="00BA7B72" w:rsidRDefault="003C2DE9" w:rsidP="00272C82">
      <w:pPr>
        <w:pStyle w:val="HeadingSoftwareTitle"/>
        <w:pBdr>
          <w:bottom w:val="single" w:sz="4" w:space="3" w:color="auto"/>
        </w:pBdr>
      </w:pPr>
      <w:r>
        <w:rPr>
          <w:sz w:val="20"/>
          <w:szCs w:val="20"/>
        </w:rPr>
        <w:t>MICROSOFT VISUAL STUDIO TEAM FOUNDATION SERVER 2018 W WERSJI PRÓBNEJ ORAZ</w:t>
      </w:r>
    </w:p>
    <w:p w:rsidR="003C2DE9" w:rsidRPr="00794107" w:rsidRDefault="00255C30" w:rsidP="00272C82">
      <w:pPr>
        <w:pStyle w:val="HeadingSoftwareTitle"/>
        <w:pBdr>
          <w:bottom w:val="single" w:sz="4" w:space="3" w:color="auto"/>
        </w:pBdr>
        <w:rPr>
          <w:lang w:val="en-US"/>
        </w:rPr>
      </w:pPr>
      <w:r w:rsidRPr="00794107">
        <w:rPr>
          <w:sz w:val="20"/>
          <w:szCs w:val="20"/>
          <w:lang w:val="en-US"/>
        </w:rPr>
        <w:t>TEAM FOUNDATION SERVER W WERSJI EXPRESS</w:t>
      </w:r>
    </w:p>
    <w:p w:rsidR="003C2DE9" w:rsidRPr="00BA7B72" w:rsidRDefault="003C2DE9" w:rsidP="00CC50E7">
      <w:r>
        <w:rPr>
          <w:sz w:val="20"/>
          <w:szCs w:val="20"/>
        </w:rPr>
        <w:t xml:space="preserve">Niniejsze postanowienia licencyjne stanowią umowę między Microsoft Corporation (lub, w zależności od miejsca zamieszkania Licencjobiorcy, jednym z podmiotów stowarzyszonych Microsoft </w:t>
      </w:r>
      <w:r w:rsidR="00680250">
        <w:rPr>
          <w:sz w:val="20"/>
          <w:szCs w:val="20"/>
        </w:rPr>
        <w:t>Corporation) a Licencjobiorcą.</w:t>
      </w:r>
      <w:r>
        <w:rPr>
          <w:sz w:val="20"/>
          <w:szCs w:val="20"/>
        </w:rPr>
        <w:t xml:space="preserve"> Postanowienia te dotyczą oprogramowania określoneg</w:t>
      </w:r>
      <w:r w:rsidR="00680250">
        <w:rPr>
          <w:sz w:val="20"/>
          <w:szCs w:val="20"/>
        </w:rPr>
        <w:t>o powyżej.</w:t>
      </w:r>
      <w:r>
        <w:rPr>
          <w:sz w:val="20"/>
          <w:szCs w:val="20"/>
        </w:rPr>
        <w:t xml:space="preserve"> Niniejsze postanowienia mają również zastosowanie do wszelkich usług i aktualizacji Microsoft dla niniejszego oprogramowania, z wyjątkiem tych, którym towarzyszą inne postanowienia.</w:t>
      </w:r>
    </w:p>
    <w:p w:rsidR="00AA45AF" w:rsidRPr="006B7F2E" w:rsidRDefault="005F7C07" w:rsidP="00157819">
      <w:pPr>
        <w:pStyle w:val="Preamble"/>
        <w:rPr>
          <w:sz w:val="20"/>
          <w:szCs w:val="20"/>
        </w:rPr>
      </w:pPr>
      <w:r w:rsidRPr="006B7F2E">
        <w:rPr>
          <w:sz w:val="20"/>
          <w:szCs w:val="20"/>
        </w:rPr>
        <w:t>UŻYWANIE PRZEZ LICENCJOBIORCĘ OPROGRAMOWANIA OZNACZA, ŻE AKCEPT</w:t>
      </w:r>
      <w:r w:rsidR="00680250" w:rsidRPr="006B7F2E">
        <w:rPr>
          <w:sz w:val="20"/>
          <w:szCs w:val="20"/>
        </w:rPr>
        <w:t>UJE ON NINIEJSZE POSTANOWIENIA.</w:t>
      </w:r>
      <w:r w:rsidRPr="006B7F2E">
        <w:rPr>
          <w:sz w:val="20"/>
          <w:szCs w:val="20"/>
        </w:rPr>
        <w:t xml:space="preserve"> JEŚLI LICENCJOBIORCA ICH NIE AKCEPTUJE, NIE M</w:t>
      </w:r>
      <w:r w:rsidR="00680250" w:rsidRPr="006B7F2E">
        <w:rPr>
          <w:sz w:val="20"/>
          <w:szCs w:val="20"/>
        </w:rPr>
        <w:t>OŻE KORZYSTAĆ Z OPROGRAMOWANIA.</w:t>
      </w:r>
      <w:r w:rsidRPr="006B7F2E">
        <w:rPr>
          <w:sz w:val="20"/>
          <w:szCs w:val="20"/>
        </w:rPr>
        <w:t xml:space="preserve"> W TAKIM PRZYPADKU LICENCJOBIORCA POWINIEN ZWRÓCIĆ OPROGRAMOWANIE SPRZEDAWCY W CELU UZYSKANIA ZWROTU ZAPŁACONEJ KWOTY LUB INNEJ FORMY REKOMPENSATY.</w:t>
      </w:r>
      <w:r w:rsidR="00680250" w:rsidRPr="006B7F2E">
        <w:rPr>
          <w:b w:val="0"/>
          <w:bCs w:val="0"/>
          <w:sz w:val="20"/>
          <w:szCs w:val="20"/>
        </w:rPr>
        <w:t xml:space="preserve"> </w:t>
      </w:r>
      <w:r w:rsidRPr="006B7F2E">
        <w:rPr>
          <w:b w:val="0"/>
          <w:bCs w:val="0"/>
          <w:sz w:val="20"/>
          <w:szCs w:val="20"/>
        </w:rPr>
        <w:t>Jeśli wspomniana kwota nie zostanie zwrócona, Licencjobiorca powinien skontaktować się z Microsoft lub podmiotem stowarzyszonym Microsoft właściwym dla kraju Licencjobiorcy w celu uzyskania szczegółowych informacji o zasadach obowiązujących w tym zakre</w:t>
      </w:r>
      <w:r w:rsidR="00680250" w:rsidRPr="006B7F2E">
        <w:rPr>
          <w:b w:val="0"/>
          <w:bCs w:val="0"/>
          <w:sz w:val="20"/>
          <w:szCs w:val="20"/>
        </w:rPr>
        <w:t xml:space="preserve">sie w Microsoft. </w:t>
      </w:r>
      <w:r w:rsidRPr="006B7F2E">
        <w:rPr>
          <w:b w:val="0"/>
          <w:bCs w:val="0"/>
          <w:sz w:val="20"/>
          <w:szCs w:val="20"/>
        </w:rPr>
        <w:t xml:space="preserve">Więcej informacji na ten temat można znaleźć na stronie </w:t>
      </w:r>
      <w:hyperlink r:id="rId7" w:history="1">
        <w:r w:rsidR="00157819" w:rsidRPr="006B7F2E">
          <w:rPr>
            <w:rStyle w:val="Hyperlink"/>
            <w:rFonts w:cs="Tahoma"/>
            <w:b w:val="0"/>
            <w:bCs w:val="0"/>
            <w:sz w:val="20"/>
            <w:szCs w:val="20"/>
          </w:rPr>
          <w:t>http://www.microsoft.com/worldwide</w:t>
        </w:r>
      </w:hyperlink>
      <w:r w:rsidR="00680250" w:rsidRPr="006B7F2E">
        <w:rPr>
          <w:b w:val="0"/>
          <w:bCs w:val="0"/>
          <w:sz w:val="20"/>
          <w:szCs w:val="20"/>
        </w:rPr>
        <w:t>.</w:t>
      </w:r>
      <w:r w:rsidRPr="006B7F2E">
        <w:rPr>
          <w:b w:val="0"/>
          <w:bCs w:val="0"/>
          <w:sz w:val="20"/>
          <w:szCs w:val="20"/>
        </w:rPr>
        <w:t xml:space="preserve"> W Stanach Zjednoczonych i Kanadzie należy zadzwonić pod numer telefonu (800) MICROSOFT lub odwiedzić stronę </w:t>
      </w:r>
      <w:hyperlink r:id="rId8" w:history="1">
        <w:r w:rsidRPr="006B7F2E">
          <w:rPr>
            <w:rStyle w:val="Hyperlink"/>
            <w:rFonts w:cs="Tahoma"/>
            <w:b w:val="0"/>
            <w:bCs w:val="0"/>
            <w:sz w:val="20"/>
            <w:szCs w:val="20"/>
          </w:rPr>
          <w:t>www.microsoft.com/info/nareturns.htm</w:t>
        </w:r>
      </w:hyperlink>
      <w:r w:rsidRPr="006B7F2E">
        <w:rPr>
          <w:b w:val="0"/>
          <w:bCs w:val="0"/>
          <w:sz w:val="20"/>
          <w:szCs w:val="20"/>
        </w:rPr>
        <w:t>.</w:t>
      </w:r>
    </w:p>
    <w:p w:rsidR="00234402" w:rsidRPr="00BA7B72" w:rsidRDefault="009A6A09" w:rsidP="003F5A99">
      <w:pPr>
        <w:pStyle w:val="Preamble"/>
        <w:tabs>
          <w:tab w:val="left" w:leader="underscore" w:pos="9360"/>
        </w:tabs>
      </w:pPr>
      <w:r>
        <w:rPr>
          <w:b w:val="0"/>
          <w:sz w:val="20"/>
          <w:szCs w:val="20"/>
        </w:rPr>
        <w:tab/>
      </w:r>
    </w:p>
    <w:p w:rsidR="007B7A8B" w:rsidRPr="00BA7B72" w:rsidRDefault="008C730E" w:rsidP="007B7A8B">
      <w:pPr>
        <w:pStyle w:val="Preamble"/>
        <w:tabs>
          <w:tab w:val="left" w:leader="underscore" w:pos="9360"/>
        </w:tabs>
      </w:pPr>
      <w:r>
        <w:rPr>
          <w:sz w:val="20"/>
          <w:szCs w:val="20"/>
        </w:rPr>
        <w:t>PRAWA DO UŻYWANIA WERSJI PRÓBNEJ OPROGRAMOWANIA TEAM FOUNDATION SERVER oraz WERSJI EXPRESS OPROGRAMOWANIA TEAM FOUNDATION SERVER</w:t>
      </w:r>
      <w:r w:rsidR="00680250">
        <w:rPr>
          <w:b w:val="0"/>
          <w:sz w:val="20"/>
          <w:szCs w:val="20"/>
        </w:rPr>
        <w:t>.</w:t>
      </w:r>
      <w:r>
        <w:rPr>
          <w:b w:val="0"/>
          <w:sz w:val="20"/>
          <w:szCs w:val="20"/>
        </w:rPr>
        <w:t xml:space="preserve"> Jeśli oprogramowanie udostępnione jest w wersji próbnej albo w wersji Express, wówczas używanie tych wersji podlega postanowieniom zawartym w niniejszym punkcie.</w:t>
      </w:r>
    </w:p>
    <w:p w:rsidR="007B7A8B" w:rsidRPr="00BA7B72" w:rsidRDefault="007B7A8B" w:rsidP="007B7A8B">
      <w:pPr>
        <w:pStyle w:val="Preamble"/>
        <w:tabs>
          <w:tab w:val="left" w:leader="underscore" w:pos="9360"/>
        </w:tabs>
      </w:pPr>
      <w:bookmarkStart w:id="0" w:name="_Hlk493754447"/>
      <w:r>
        <w:rPr>
          <w:bCs w:val="0"/>
          <w:sz w:val="20"/>
          <w:szCs w:val="20"/>
        </w:rPr>
        <w:t>UŻYWANIE WERSJI PRÓBNEJ.</w:t>
      </w:r>
      <w:r>
        <w:rPr>
          <w:b w:val="0"/>
          <w:sz w:val="20"/>
          <w:szCs w:val="20"/>
        </w:rPr>
        <w:t xml:space="preserve"> Licencjobiorca może używać wersji próbnej oprogramowania na swoich urządzeniach wyłącznie na własny użytek w celach związanych z ewaluacją tego oprogramowania.</w:t>
      </w:r>
      <w:r w:rsidR="00EC6E11">
        <w:rPr>
          <w:b w:val="0"/>
          <w:sz w:val="20"/>
          <w:szCs w:val="20"/>
        </w:rPr>
        <w:t xml:space="preserve"> </w:t>
      </w:r>
      <w:r>
        <w:rPr>
          <w:b w:val="0"/>
          <w:sz w:val="20"/>
          <w:szCs w:val="20"/>
        </w:rPr>
        <w:t>Na przykład prawa do używania wersji próbnej nie obejmują prawa do korzystania z jakichkolwiek składników wersji próbnej w środowisku produkcyjnym.</w:t>
      </w:r>
      <w:r w:rsidR="00EC6E11">
        <w:rPr>
          <w:b w:val="0"/>
          <w:sz w:val="20"/>
          <w:szCs w:val="20"/>
        </w:rPr>
        <w:t xml:space="preserve"> </w:t>
      </w:r>
    </w:p>
    <w:bookmarkEnd w:id="0"/>
    <w:p w:rsidR="00C750F4" w:rsidRPr="00BA7B72" w:rsidRDefault="00D92289" w:rsidP="002D4427">
      <w:pPr>
        <w:pStyle w:val="Heading1"/>
        <w:keepNext/>
        <w:numPr>
          <w:ilvl w:val="0"/>
          <w:numId w:val="0"/>
        </w:numPr>
      </w:pPr>
      <w:r>
        <w:rPr>
          <w:b w:val="0"/>
          <w:sz w:val="20"/>
          <w:szCs w:val="20"/>
        </w:rPr>
        <w:t>Licencjobiorca może korzystać z wersji próbnej przez okre</w:t>
      </w:r>
      <w:r w:rsidR="00680250">
        <w:rPr>
          <w:b w:val="0"/>
          <w:sz w:val="20"/>
          <w:szCs w:val="20"/>
        </w:rPr>
        <w:t xml:space="preserve">s dziewięćdziesięciu (90) dni. </w:t>
      </w:r>
      <w:r>
        <w:rPr>
          <w:b w:val="0"/>
          <w:sz w:val="20"/>
          <w:szCs w:val="20"/>
        </w:rPr>
        <w:t>Po upływie sześćdziesięciu (60) dni od zainstalowania wersji próbnej wyświetlą się opcje dotyczące przekształcenia licencji, które od tego momentu będą wyświetlać się każdorazowo po zalogowaniu się użytkownika do konsoli administracyjnej serwera. Licencjobiorca może w dowolnym momencie przekształcić prawa do korzystania z wersji próbnej w prawa do wersji Express (bez opłat) albo w pełne prawa do używania opisane poniżej po wykupieniu pełnej licencji od Microsoft albo jedn</w:t>
      </w:r>
      <w:r w:rsidR="00680250">
        <w:rPr>
          <w:b w:val="0"/>
          <w:sz w:val="20"/>
          <w:szCs w:val="20"/>
        </w:rPr>
        <w:t xml:space="preserve">ego z dystrybutorów Microsoft. </w:t>
      </w:r>
      <w:r>
        <w:rPr>
          <w:b w:val="0"/>
          <w:sz w:val="20"/>
          <w:szCs w:val="20"/>
        </w:rPr>
        <w:t>Gdy wersja próbna przestanie działać, Licencjobiorca może nie mieć już dostępu do używanych przez nią danych.</w:t>
      </w:r>
    </w:p>
    <w:p w:rsidR="001B06C6" w:rsidRPr="00794107" w:rsidRDefault="001B06C6" w:rsidP="001B06C6">
      <w:pPr>
        <w:pStyle w:val="Preamble"/>
        <w:tabs>
          <w:tab w:val="left" w:leader="underscore" w:pos="9360"/>
        </w:tabs>
        <w:rPr>
          <w:lang w:val="en-US"/>
        </w:rPr>
      </w:pPr>
      <w:r w:rsidRPr="00794107">
        <w:rPr>
          <w:bCs w:val="0"/>
          <w:sz w:val="20"/>
          <w:szCs w:val="20"/>
          <w:lang w:val="en-US"/>
        </w:rPr>
        <w:t>UŻYWANIE WERSJI MICROSOFT VISUAL STUDIO TEAM FOUNDATION SERVER EXPRESS.</w:t>
      </w:r>
      <w:r w:rsidRPr="00794107">
        <w:rPr>
          <w:b w:val="0"/>
          <w:sz w:val="20"/>
          <w:szCs w:val="20"/>
          <w:lang w:val="en-US"/>
        </w:rPr>
        <w:t xml:space="preserve"> </w:t>
      </w:r>
    </w:p>
    <w:p w:rsidR="001B06C6" w:rsidRPr="008C154B" w:rsidRDefault="001B06C6" w:rsidP="001B06C6">
      <w:pPr>
        <w:pStyle w:val="Heading2"/>
        <w:tabs>
          <w:tab w:val="clear" w:pos="993"/>
          <w:tab w:val="num" w:pos="720"/>
        </w:tabs>
        <w:ind w:left="720" w:hanging="360"/>
      </w:pPr>
      <w:r>
        <w:rPr>
          <w:sz w:val="20"/>
          <w:szCs w:val="20"/>
        </w:rPr>
        <w:t>Uruchamianie wy</w:t>
      </w:r>
      <w:r w:rsidR="00680250">
        <w:rPr>
          <w:sz w:val="20"/>
          <w:szCs w:val="20"/>
        </w:rPr>
        <w:t>stąpień oprogramowania serwera.</w:t>
      </w:r>
      <w:r>
        <w:rPr>
          <w:sz w:val="20"/>
          <w:szCs w:val="20"/>
        </w:rPr>
        <w:t xml:space="preserve"> </w:t>
      </w:r>
      <w:r>
        <w:rPr>
          <w:b w:val="0"/>
          <w:sz w:val="20"/>
          <w:szCs w:val="20"/>
        </w:rPr>
        <w:t xml:space="preserve">Licencjobiorca może używać tylko jednego wystąpienia oprogramowania serwera przypisanego do jednego fizycznego albo wirtualnego środowiska systemu operacyjnego. Dla celów związanych z niniejszym udzieleniem licencji na wersję Express w przypadku każdego użytkownika lub urządzenia podłączonego do oprogramowania serwera uznaje się, że są objęci licencją dostępową CAL. Licencjobiorca może podłączyć dowolną kombinację maksymalnie pięciu (5) użytkowników albo urządzeń na potrzeby uzyskiwania dostępu do jednego wystąpienia oprogramowania serwera w przypadkach, gdy jest wymagana licencja dostępowa CAL (punkt c poniżej zawiera informacje o przypadkach, w których licencja dostępowa CAL nie jest wymagana). </w:t>
      </w:r>
    </w:p>
    <w:p w:rsidR="001B06C6" w:rsidRPr="00BA7B72" w:rsidRDefault="002656BA" w:rsidP="001B06C6">
      <w:pPr>
        <w:pStyle w:val="Heading2"/>
        <w:tabs>
          <w:tab w:val="clear" w:pos="993"/>
          <w:tab w:val="num" w:pos="720"/>
        </w:tabs>
        <w:ind w:left="720" w:hanging="360"/>
      </w:pPr>
      <w:r w:rsidRPr="00794107">
        <w:rPr>
          <w:sz w:val="20"/>
          <w:szCs w:val="20"/>
          <w:lang w:val="en-US"/>
        </w:rPr>
        <w:t xml:space="preserve">Visual Studio Team Foundation Build Services. </w:t>
      </w:r>
      <w:r>
        <w:rPr>
          <w:b w:val="0"/>
          <w:bCs w:val="0"/>
          <w:sz w:val="20"/>
          <w:szCs w:val="20"/>
        </w:rPr>
        <w:t xml:space="preserve">Licencjobiorca może uruchamiać dowolną liczbę wystąpień Visual Studio Team Foundation Build Services lub używać ich w inny sposób </w:t>
      </w:r>
      <w:r>
        <w:rPr>
          <w:b w:val="0"/>
          <w:bCs w:val="0"/>
          <w:sz w:val="20"/>
          <w:szCs w:val="20"/>
        </w:rPr>
        <w:lastRenderedPageBreak/>
        <w:t>w fizycznych lub wirtualnych środowiskach systemów operacyjnych na dowolnej liczbie urządzeń.</w:t>
      </w:r>
      <w:r w:rsidR="00EC6E11">
        <w:rPr>
          <w:b w:val="0"/>
          <w:bCs w:val="0"/>
          <w:sz w:val="20"/>
          <w:szCs w:val="20"/>
        </w:rPr>
        <w:t xml:space="preserve"> </w:t>
      </w:r>
      <w:r>
        <w:rPr>
          <w:b w:val="0"/>
          <w:bCs w:val="0"/>
          <w:sz w:val="20"/>
          <w:szCs w:val="20"/>
        </w:rPr>
        <w:t xml:space="preserve">Z dodatkowego oprogramowania można korzystać tylko bezpośrednio z oprogramowaniem serwera lub pośrednio za pośrednictwem innego dodatkowego oprogramowania. </w:t>
      </w:r>
    </w:p>
    <w:p w:rsidR="002553DA" w:rsidRPr="00BA7B72" w:rsidRDefault="00CC0F17" w:rsidP="00CC0F17">
      <w:pPr>
        <w:pStyle w:val="Heading2"/>
        <w:tabs>
          <w:tab w:val="clear" w:pos="993"/>
          <w:tab w:val="num" w:pos="720"/>
        </w:tabs>
        <w:ind w:left="720" w:hanging="360"/>
      </w:pPr>
      <w:r>
        <w:rPr>
          <w:sz w:val="20"/>
          <w:szCs w:val="20"/>
        </w:rPr>
        <w:t xml:space="preserve">Użycie niewymagające licencji dostępowej CAL. </w:t>
      </w:r>
      <w:r>
        <w:rPr>
          <w:b w:val="0"/>
          <w:sz w:val="20"/>
          <w:szCs w:val="20"/>
        </w:rPr>
        <w:t xml:space="preserve">Licencja dostępowa CAL nie jest wymagana: </w:t>
      </w:r>
    </w:p>
    <w:p w:rsidR="002553DA" w:rsidRPr="00BA7B72" w:rsidRDefault="002553DA" w:rsidP="00AE6FC8">
      <w:pPr>
        <w:pStyle w:val="Heading1"/>
        <w:numPr>
          <w:ilvl w:val="0"/>
          <w:numId w:val="24"/>
        </w:numPr>
      </w:pPr>
      <w:r>
        <w:rPr>
          <w:b w:val="0"/>
          <w:sz w:val="20"/>
          <w:szCs w:val="20"/>
        </w:rPr>
        <w:t xml:space="preserve">do wyświetlania, edytowania lub wprowadzania elementów roboczych; </w:t>
      </w:r>
    </w:p>
    <w:p w:rsidR="00A062B6" w:rsidRPr="00BA7B72" w:rsidRDefault="00CC3586" w:rsidP="00AE6FC8">
      <w:pPr>
        <w:pStyle w:val="Heading1"/>
        <w:numPr>
          <w:ilvl w:val="0"/>
          <w:numId w:val="24"/>
        </w:numPr>
      </w:pPr>
      <w:r>
        <w:rPr>
          <w:b w:val="0"/>
          <w:sz w:val="20"/>
          <w:szCs w:val="20"/>
        </w:rPr>
        <w:t>do uzyskiwania dostępu do oprogramowania Visual Studio Team Foundation Server za pośrednictwem pogrupowanego połączenia z innej zintegrowanej aplikacji lub usługi.</w:t>
      </w:r>
    </w:p>
    <w:p w:rsidR="003C4EF2" w:rsidRPr="00BA7B72" w:rsidRDefault="003C4EF2" w:rsidP="003C4EF2">
      <w:pPr>
        <w:pStyle w:val="Heading2"/>
        <w:keepNext/>
        <w:tabs>
          <w:tab w:val="clear" w:pos="993"/>
          <w:tab w:val="num" w:pos="720"/>
        </w:tabs>
        <w:ind w:left="720" w:hanging="360"/>
      </w:pPr>
      <w:r>
        <w:rPr>
          <w:sz w:val="20"/>
          <w:szCs w:val="20"/>
        </w:rPr>
        <w:t xml:space="preserve">Wymagane licencje </w:t>
      </w:r>
      <w:r w:rsidR="00680250">
        <w:rPr>
          <w:sz w:val="20"/>
          <w:szCs w:val="20"/>
        </w:rPr>
        <w:t>dodatkowe.</w:t>
      </w:r>
      <w:r>
        <w:rPr>
          <w:sz w:val="20"/>
          <w:szCs w:val="20"/>
        </w:rPr>
        <w:t xml:space="preserve"> </w:t>
      </w:r>
      <w:r>
        <w:rPr>
          <w:b w:val="0"/>
          <w:sz w:val="20"/>
          <w:szCs w:val="20"/>
        </w:rPr>
        <w:t>Aby móc korzystać z funkcji oprogramowania, zarządzać testami, zarządzać pakietami lub przeprowadzać równoległe wdrożenia za pomocą aplikacji Release Management, użytkownik musi mieć licencję na jedną z poniższych subskrypcji:</w:t>
      </w:r>
    </w:p>
    <w:p w:rsidR="003C4EF2" w:rsidRPr="00BA7B72" w:rsidRDefault="003C4EF2" w:rsidP="003C4EF2">
      <w:pPr>
        <w:pStyle w:val="Bullet4"/>
        <w:tabs>
          <w:tab w:val="clear" w:pos="1437"/>
          <w:tab w:val="num" w:pos="1080"/>
        </w:tabs>
        <w:ind w:left="1080" w:hanging="360"/>
      </w:pPr>
      <w:r>
        <w:rPr>
          <w:sz w:val="20"/>
          <w:szCs w:val="20"/>
          <w:u w:val="single"/>
        </w:rPr>
        <w:t>Zarządzanie testami</w:t>
      </w:r>
    </w:p>
    <w:p w:rsidR="003C4EF2" w:rsidRPr="00BA7B72" w:rsidRDefault="003C4EF2" w:rsidP="00655210">
      <w:pPr>
        <w:pStyle w:val="Heading2"/>
        <w:widowControl w:val="0"/>
        <w:numPr>
          <w:ilvl w:val="0"/>
          <w:numId w:val="0"/>
        </w:numPr>
        <w:ind w:left="1080"/>
      </w:pPr>
      <w:r>
        <w:rPr>
          <w:b w:val="0"/>
          <w:sz w:val="20"/>
          <w:szCs w:val="20"/>
        </w:rPr>
        <w:t xml:space="preserve">Subskrypcja programu Visual Studio Enterprise </w:t>
      </w:r>
    </w:p>
    <w:p w:rsidR="003C4EF2" w:rsidRPr="00BA7B72" w:rsidRDefault="003C4EF2" w:rsidP="00655210">
      <w:pPr>
        <w:pStyle w:val="Heading2"/>
        <w:widowControl w:val="0"/>
        <w:numPr>
          <w:ilvl w:val="0"/>
          <w:numId w:val="0"/>
        </w:numPr>
        <w:ind w:left="1080"/>
      </w:pPr>
      <w:r>
        <w:rPr>
          <w:b w:val="0"/>
          <w:sz w:val="20"/>
          <w:szCs w:val="20"/>
        </w:rPr>
        <w:t xml:space="preserve">Visual Studio Enterprise — subskrypcja miesięczna </w:t>
      </w:r>
    </w:p>
    <w:p w:rsidR="003C4EF2" w:rsidRPr="00BA7B72" w:rsidRDefault="003C4EF2" w:rsidP="00655210">
      <w:pPr>
        <w:pStyle w:val="Heading2"/>
        <w:widowControl w:val="0"/>
        <w:numPr>
          <w:ilvl w:val="0"/>
          <w:numId w:val="0"/>
        </w:numPr>
        <w:ind w:left="1080"/>
      </w:pPr>
      <w:r>
        <w:rPr>
          <w:b w:val="0"/>
          <w:sz w:val="20"/>
          <w:szCs w:val="20"/>
        </w:rPr>
        <w:t>Visual Studio Enterprise — subskrypcja roczna</w:t>
      </w:r>
      <w:r w:rsidR="00EC6E11">
        <w:rPr>
          <w:b w:val="0"/>
          <w:sz w:val="20"/>
          <w:szCs w:val="20"/>
        </w:rPr>
        <w:t xml:space="preserve"> </w:t>
      </w:r>
    </w:p>
    <w:p w:rsidR="003C4EF2" w:rsidRPr="00BA7B72" w:rsidRDefault="003C4EF2" w:rsidP="00655210">
      <w:pPr>
        <w:pStyle w:val="Heading2"/>
        <w:widowControl w:val="0"/>
        <w:numPr>
          <w:ilvl w:val="0"/>
          <w:numId w:val="0"/>
        </w:numPr>
        <w:ind w:left="1080"/>
      </w:pPr>
      <w:r>
        <w:rPr>
          <w:b w:val="0"/>
          <w:sz w:val="20"/>
          <w:szCs w:val="20"/>
        </w:rPr>
        <w:t>Platformy MSDN lub</w:t>
      </w:r>
    </w:p>
    <w:p w:rsidR="003C4EF2" w:rsidRPr="00BA7B72" w:rsidRDefault="003C4EF2" w:rsidP="00655210">
      <w:pPr>
        <w:pStyle w:val="Heading2"/>
        <w:widowControl w:val="0"/>
        <w:numPr>
          <w:ilvl w:val="0"/>
          <w:numId w:val="0"/>
        </w:numPr>
        <w:ind w:left="1080"/>
      </w:pPr>
      <w:r>
        <w:rPr>
          <w:b w:val="0"/>
          <w:sz w:val="20"/>
          <w:szCs w:val="20"/>
        </w:rPr>
        <w:t>Płatny plan dla Menedżera testów w usłudze Visual Studio Team Services</w:t>
      </w:r>
    </w:p>
    <w:p w:rsidR="003C4EF2" w:rsidRPr="00BA7B72" w:rsidRDefault="003C4EF2" w:rsidP="003C4EF2">
      <w:pPr>
        <w:pStyle w:val="Bullet4"/>
        <w:tabs>
          <w:tab w:val="clear" w:pos="1437"/>
          <w:tab w:val="num" w:pos="1080"/>
        </w:tabs>
        <w:ind w:left="1080" w:hanging="360"/>
      </w:pPr>
      <w:r>
        <w:rPr>
          <w:sz w:val="20"/>
          <w:szCs w:val="20"/>
          <w:u w:val="single"/>
        </w:rPr>
        <w:t>Zarządzanie pakietami</w:t>
      </w:r>
    </w:p>
    <w:p w:rsidR="003C4EF2" w:rsidRPr="00BA7B72" w:rsidRDefault="003C4EF2" w:rsidP="00655210">
      <w:pPr>
        <w:pStyle w:val="Heading2"/>
        <w:widowControl w:val="0"/>
        <w:numPr>
          <w:ilvl w:val="0"/>
          <w:numId w:val="0"/>
        </w:numPr>
        <w:ind w:left="1080"/>
      </w:pPr>
      <w:r>
        <w:rPr>
          <w:b w:val="0"/>
          <w:sz w:val="20"/>
          <w:szCs w:val="20"/>
        </w:rPr>
        <w:t xml:space="preserve">Subskrypcja programu Visual Studio Enterprise </w:t>
      </w:r>
    </w:p>
    <w:p w:rsidR="003C4EF2" w:rsidRPr="00BA7B72" w:rsidRDefault="003C4EF2" w:rsidP="00655210">
      <w:pPr>
        <w:pStyle w:val="Heading2"/>
        <w:widowControl w:val="0"/>
        <w:numPr>
          <w:ilvl w:val="0"/>
          <w:numId w:val="0"/>
        </w:numPr>
        <w:ind w:left="1080"/>
      </w:pPr>
      <w:r>
        <w:rPr>
          <w:b w:val="0"/>
          <w:sz w:val="20"/>
          <w:szCs w:val="20"/>
        </w:rPr>
        <w:t xml:space="preserve">Visual Studio Enterprise — subskrypcja miesięczna </w:t>
      </w:r>
    </w:p>
    <w:p w:rsidR="003C4EF2" w:rsidRPr="00BA7B72" w:rsidRDefault="003C4EF2" w:rsidP="00655210">
      <w:pPr>
        <w:pStyle w:val="Heading2"/>
        <w:widowControl w:val="0"/>
        <w:numPr>
          <w:ilvl w:val="0"/>
          <w:numId w:val="0"/>
        </w:numPr>
        <w:ind w:left="1080"/>
      </w:pPr>
      <w:r>
        <w:rPr>
          <w:b w:val="0"/>
          <w:sz w:val="20"/>
          <w:szCs w:val="20"/>
        </w:rPr>
        <w:t xml:space="preserve">Visual Studio Enterprise — subskrypcja roczna lub </w:t>
      </w:r>
    </w:p>
    <w:p w:rsidR="003C4EF2" w:rsidRPr="00BA7B72" w:rsidRDefault="003C4EF2" w:rsidP="00655210">
      <w:pPr>
        <w:pStyle w:val="Heading2"/>
        <w:widowControl w:val="0"/>
        <w:numPr>
          <w:ilvl w:val="0"/>
          <w:numId w:val="0"/>
        </w:numPr>
        <w:ind w:left="1080"/>
      </w:pPr>
      <w:r>
        <w:rPr>
          <w:b w:val="0"/>
          <w:sz w:val="20"/>
          <w:szCs w:val="20"/>
        </w:rPr>
        <w:t>Płatny plan dla Zarządzania pakietami w usłudze Visual Studio Team Services</w:t>
      </w:r>
    </w:p>
    <w:p w:rsidR="003C4EF2" w:rsidRPr="00BA7B72" w:rsidRDefault="003C4EF2" w:rsidP="003C4EF2">
      <w:pPr>
        <w:pStyle w:val="Bullet4"/>
        <w:numPr>
          <w:ilvl w:val="0"/>
          <w:numId w:val="26"/>
        </w:numPr>
        <w:ind w:left="1080"/>
      </w:pPr>
      <w:r>
        <w:rPr>
          <w:u w:val="single"/>
        </w:rPr>
        <w:t>Równoległe wdrożenia za pomocą aplikacji Release Management</w:t>
      </w:r>
      <w:r>
        <w:t xml:space="preserve"> (1 licencja dołączona do licencji na serwer)</w:t>
      </w:r>
    </w:p>
    <w:p w:rsidR="003C4EF2" w:rsidRPr="00BA7B72" w:rsidRDefault="003C4EF2" w:rsidP="00655210">
      <w:pPr>
        <w:pStyle w:val="Heading2"/>
        <w:keepNext/>
        <w:numPr>
          <w:ilvl w:val="0"/>
          <w:numId w:val="0"/>
        </w:numPr>
        <w:ind w:left="720" w:firstLine="360"/>
      </w:pPr>
      <w:r>
        <w:rPr>
          <w:b w:val="0"/>
          <w:sz w:val="20"/>
          <w:szCs w:val="20"/>
        </w:rPr>
        <w:t>Dodatkowe równoległe wdrożenia są dołączone do zakupów następujących licencji:</w:t>
      </w:r>
    </w:p>
    <w:p w:rsidR="003C4EF2" w:rsidRPr="00BA7B72" w:rsidRDefault="003C4EF2" w:rsidP="00352D23">
      <w:pPr>
        <w:pStyle w:val="Heading2"/>
        <w:keepNext/>
        <w:numPr>
          <w:ilvl w:val="0"/>
          <w:numId w:val="0"/>
        </w:numPr>
        <w:ind w:left="1080"/>
      </w:pPr>
      <w:r>
        <w:rPr>
          <w:b w:val="0"/>
          <w:sz w:val="20"/>
          <w:szCs w:val="20"/>
        </w:rPr>
        <w:t xml:space="preserve">Subskrypcja programu Visual Studio Enterprise </w:t>
      </w:r>
    </w:p>
    <w:p w:rsidR="003C4EF2" w:rsidRPr="00BA7B72" w:rsidRDefault="003C4EF2" w:rsidP="00352D23">
      <w:pPr>
        <w:pStyle w:val="Heading2"/>
        <w:widowControl w:val="0"/>
        <w:numPr>
          <w:ilvl w:val="0"/>
          <w:numId w:val="0"/>
        </w:numPr>
        <w:ind w:left="1080"/>
      </w:pPr>
      <w:r>
        <w:rPr>
          <w:b w:val="0"/>
          <w:sz w:val="20"/>
          <w:szCs w:val="20"/>
        </w:rPr>
        <w:t xml:space="preserve">Visual Studio Enterprise — subskrypcja miesięczna </w:t>
      </w:r>
    </w:p>
    <w:p w:rsidR="003C4EF2" w:rsidRPr="00BA7B72" w:rsidRDefault="003C4EF2" w:rsidP="00352D23">
      <w:pPr>
        <w:pStyle w:val="Heading2"/>
        <w:widowControl w:val="0"/>
        <w:numPr>
          <w:ilvl w:val="0"/>
          <w:numId w:val="0"/>
        </w:numPr>
        <w:ind w:left="1080"/>
      </w:pPr>
      <w:r>
        <w:rPr>
          <w:b w:val="0"/>
          <w:sz w:val="20"/>
          <w:szCs w:val="20"/>
        </w:rPr>
        <w:t>Visual Studio Enterprise — subskrypcja roczna lub</w:t>
      </w:r>
    </w:p>
    <w:p w:rsidR="003C4EF2" w:rsidRPr="00BA7B72" w:rsidRDefault="003C4EF2" w:rsidP="00352D23">
      <w:pPr>
        <w:pStyle w:val="Bullet4"/>
        <w:numPr>
          <w:ilvl w:val="0"/>
          <w:numId w:val="0"/>
        </w:numPr>
        <w:ind w:left="1080"/>
      </w:pPr>
      <w:r>
        <w:t>Potok prywatny kompilacji i wydania w usłudze Visual Studio Team Services</w:t>
      </w:r>
    </w:p>
    <w:p w:rsidR="009A6A09" w:rsidRPr="00BA7B72" w:rsidRDefault="009A6A09" w:rsidP="00356513">
      <w:pPr>
        <w:pStyle w:val="Heading1"/>
        <w:numPr>
          <w:ilvl w:val="0"/>
          <w:numId w:val="17"/>
        </w:numPr>
      </w:pPr>
      <w:r>
        <w:rPr>
          <w:caps/>
          <w:sz w:val="20"/>
          <w:szCs w:val="20"/>
        </w:rPr>
        <w:t>Odrzucenie odpowiedzialnośc</w:t>
      </w:r>
      <w:r w:rsidR="00680250">
        <w:rPr>
          <w:caps/>
          <w:sz w:val="20"/>
          <w:szCs w:val="20"/>
        </w:rPr>
        <w:t>i z tytułu rękojmi i gwarancji.</w:t>
      </w:r>
      <w:r>
        <w:rPr>
          <w:caps/>
          <w:sz w:val="20"/>
          <w:szCs w:val="20"/>
        </w:rPr>
        <w:t xml:space="preserve"> WERSJA PRÓBNA I WERSJA EXPRESS OPROGRAMOWANIA TEAM FOUNDATION SERVER są licencjonowane w stanie „takim, w jakim są”. Wszelkie ryzyko związane z korzystaniem z tych wersji oprogra</w:t>
      </w:r>
      <w:r w:rsidR="00680250">
        <w:rPr>
          <w:caps/>
          <w:sz w:val="20"/>
          <w:szCs w:val="20"/>
        </w:rPr>
        <w:t xml:space="preserve">mowania ponosi Licencjobiorca. </w:t>
      </w:r>
      <w:r>
        <w:rPr>
          <w:caps/>
          <w:sz w:val="20"/>
          <w:szCs w:val="20"/>
        </w:rPr>
        <w:t>Microsoft nie udziela żadnych wyraźnych rękojmi, gwarancji ani zapewn</w:t>
      </w:r>
      <w:r w:rsidR="00680250">
        <w:rPr>
          <w:caps/>
          <w:sz w:val="20"/>
          <w:szCs w:val="20"/>
        </w:rPr>
        <w:t>ień dotyczących oprogramowania.</w:t>
      </w:r>
      <w:r>
        <w:rPr>
          <w:caps/>
          <w:sz w:val="20"/>
          <w:szCs w:val="20"/>
        </w:rPr>
        <w:t xml:space="preserve"> W zakresie dozwolonym przez prawo krajowe Microsoft niniejszym wyłącza swoją odpowiedzialność z tytułu dorozumianych rękojmi co do wartości handlowej, przydatności do określonego celu oraz braku naruszeń praw własności intelektualnej</w:t>
      </w:r>
      <w:r>
        <w:rPr>
          <w:sz w:val="20"/>
          <w:szCs w:val="20"/>
        </w:rPr>
        <w:t>.</w:t>
      </w:r>
    </w:p>
    <w:p w:rsidR="009A6A09" w:rsidRPr="00BA7B72" w:rsidRDefault="009A6A09" w:rsidP="00356513">
      <w:pPr>
        <w:pStyle w:val="Heading1"/>
        <w:numPr>
          <w:ilvl w:val="0"/>
          <w:numId w:val="17"/>
        </w:numPr>
      </w:pPr>
      <w:r>
        <w:rPr>
          <w:b w:val="0"/>
          <w:bCs w:val="0"/>
          <w:sz w:val="20"/>
          <w:szCs w:val="20"/>
        </w:rPr>
        <w:t>Ponieważ wersja próbna i wersja Express oprogramowania Team Foundation Server są oferowane Licencjobiorcy w stanie „takim, w jakim są”, Microsoft może nie świadczyć związanych z tym oprogramowaniem usług pomocy technicznej.</w:t>
      </w:r>
    </w:p>
    <w:p w:rsidR="009A6A09" w:rsidRPr="00BA7B72" w:rsidRDefault="009A6A09" w:rsidP="00356513">
      <w:pPr>
        <w:pStyle w:val="Body1"/>
        <w:numPr>
          <w:ilvl w:val="1"/>
          <w:numId w:val="19"/>
        </w:numPr>
        <w:tabs>
          <w:tab w:val="num" w:pos="720"/>
        </w:tabs>
        <w:ind w:left="720" w:hanging="360"/>
      </w:pPr>
      <w:r>
        <w:rPr>
          <w:b/>
          <w:caps/>
          <w:sz w:val="20"/>
          <w:szCs w:val="20"/>
        </w:rPr>
        <w:lastRenderedPageBreak/>
        <w:t>Ograniczenie i wyłączeni</w:t>
      </w:r>
      <w:r w:rsidR="00680250">
        <w:rPr>
          <w:b/>
          <w:caps/>
          <w:sz w:val="20"/>
          <w:szCs w:val="20"/>
        </w:rPr>
        <w:t xml:space="preserve">e odpowiedzialności za szkody. </w:t>
      </w:r>
      <w:r>
        <w:rPr>
          <w:b/>
          <w:caps/>
          <w:sz w:val="20"/>
          <w:szCs w:val="20"/>
        </w:rPr>
        <w:t>Microsoft i dostawcy Microsoft ponoszą odpowiedzialność wyłącznie za szkody b</w:t>
      </w:r>
      <w:r w:rsidR="00680250">
        <w:rPr>
          <w:b/>
          <w:caps/>
          <w:sz w:val="20"/>
          <w:szCs w:val="20"/>
        </w:rPr>
        <w:t xml:space="preserve">ezpośrednie do kwoty 5,00 USD. </w:t>
      </w:r>
      <w:r>
        <w:rPr>
          <w:b/>
          <w:caps/>
          <w:sz w:val="20"/>
          <w:szCs w:val="20"/>
        </w:rPr>
        <w:t>Licencjobiorca nie może dochodzić roszczeń z tytułu żadnych innych szkód, w tym szkód wynikających z utraty zysków, szkód wtórnych, szkód szczególnych, szkód pośrednich lub szkód ubocznych.</w:t>
      </w:r>
    </w:p>
    <w:p w:rsidR="009A6A09" w:rsidRPr="00BA7B72" w:rsidRDefault="009A6A09" w:rsidP="00D86916">
      <w:pPr>
        <w:pStyle w:val="Body1"/>
        <w:ind w:left="714"/>
      </w:pPr>
      <w:r>
        <w:rPr>
          <w:sz w:val="20"/>
          <w:szCs w:val="20"/>
        </w:rPr>
        <w:t>Ograniczenie to ma zastosowanie w przypadku (a) wszelkich kwestii dotyczących wersji próbnej oprogramowania, usług, treści (w tym kodu) udostępnianych na stronach internetowych osób trzecich lub programów osób trzecich, a także w przypadku (b) roszczeń z tytułu naruszenia umowy, rękojmi, gwarancji lub zapewnień lub z tytułu odpowiedzialności obiektywnej, niedbalstwa lub czynu niedozwolonego, w zakresie dozwolonym przez prawo właściwe.</w:t>
      </w:r>
    </w:p>
    <w:p w:rsidR="009A6A09" w:rsidRPr="00BA7B72" w:rsidRDefault="009A6A09" w:rsidP="00ED1846">
      <w:pPr>
        <w:pStyle w:val="Body1"/>
        <w:spacing w:before="0" w:after="0"/>
        <w:ind w:left="720"/>
      </w:pPr>
      <w:r>
        <w:rPr>
          <w:sz w:val="20"/>
          <w:szCs w:val="20"/>
        </w:rPr>
        <w:t>Ograniczenie to ma zastosowanie także w przypadku, gdy spółka Microsoft wiedziała lub powinna była wiedzieć o możl</w:t>
      </w:r>
      <w:r w:rsidR="00680250">
        <w:rPr>
          <w:sz w:val="20"/>
          <w:szCs w:val="20"/>
        </w:rPr>
        <w:t xml:space="preserve">iwości powstania takich szkód. </w:t>
      </w:r>
      <w:r>
        <w:rPr>
          <w:sz w:val="20"/>
          <w:szCs w:val="20"/>
        </w:rPr>
        <w:t>Powyższe ograniczenie i wyłączenie mogą jednak nie dotyczyć Licencjobiorcy w przypadku, gdy na mocy prawa krajowego nie jest dozwolone wyłączenie ani ograniczenie odpowiedzialności za szkody uboczne, wtórne itp.</w:t>
      </w:r>
    </w:p>
    <w:p w:rsidR="0092772C" w:rsidRPr="00BA7B72" w:rsidRDefault="0092772C">
      <w:pPr>
        <w:spacing w:before="0" w:after="0"/>
      </w:pPr>
      <w:r>
        <w:br w:type="page"/>
      </w:r>
    </w:p>
    <w:p w:rsidR="00356513" w:rsidRPr="00BA7B72" w:rsidRDefault="003F5A99" w:rsidP="00356513">
      <w:pPr>
        <w:pStyle w:val="PreambleBorderAbove"/>
        <w:widowControl w:val="0"/>
      </w:pPr>
      <w:r>
        <w:rPr>
          <w:rFonts w:eastAsia="SimSun"/>
          <w:sz w:val="20"/>
          <w:szCs w:val="20"/>
        </w:rPr>
        <w:lastRenderedPageBreak/>
        <w:t>POSTANOWIENIA DOTYCZĄCE LICENCJI PEŁNEJ NA OPROGRAMOWANIE:</w:t>
      </w:r>
      <w:r w:rsidR="001D5C49">
        <w:rPr>
          <w:rFonts w:eastAsia="SimSun"/>
          <w:sz w:val="20"/>
          <w:szCs w:val="20"/>
        </w:rPr>
        <w:t xml:space="preserve"> </w:t>
      </w:r>
      <w:r>
        <w:rPr>
          <w:b w:val="0"/>
          <w:bCs w:val="0"/>
          <w:sz w:val="20"/>
          <w:szCs w:val="20"/>
        </w:rPr>
        <w:t>Po uzyskaniu oprogramowania Licencjobiorcę obowiązują poniższe postanowienia dotyczące licencji pełnej.</w:t>
      </w:r>
      <w:r w:rsidR="001D5C49">
        <w:rPr>
          <w:b w:val="0"/>
          <w:bCs w:val="0"/>
          <w:sz w:val="20"/>
          <w:szCs w:val="20"/>
        </w:rPr>
        <w:t xml:space="preserve"> </w:t>
      </w:r>
    </w:p>
    <w:p w:rsidR="003C2DE9" w:rsidRPr="00BA7B72" w:rsidRDefault="005F7C07" w:rsidP="00356513">
      <w:pPr>
        <w:pStyle w:val="Heading1"/>
        <w:numPr>
          <w:ilvl w:val="0"/>
          <w:numId w:val="28"/>
        </w:numPr>
      </w:pPr>
      <w:r>
        <w:rPr>
          <w:sz w:val="20"/>
          <w:szCs w:val="20"/>
        </w:rPr>
        <w:t>POSTANOWIENIA OGÓLNE</w:t>
      </w:r>
    </w:p>
    <w:p w:rsidR="003C2DE9" w:rsidRPr="00BA7B72" w:rsidRDefault="005F7C07" w:rsidP="004B34DD">
      <w:pPr>
        <w:pStyle w:val="Heading2"/>
        <w:tabs>
          <w:tab w:val="clear" w:pos="993"/>
        </w:tabs>
        <w:ind w:left="720" w:hanging="360"/>
      </w:pPr>
      <w:r>
        <w:t>Model licencjonowania.</w:t>
      </w:r>
      <w:r w:rsidR="001D5C49">
        <w:t xml:space="preserve"> </w:t>
      </w:r>
      <w:r>
        <w:t>Oprogramowanie jest licencjonowane na podstawie:</w:t>
      </w:r>
    </w:p>
    <w:p w:rsidR="00E346DC" w:rsidRPr="00BA7B72" w:rsidRDefault="005F7C07" w:rsidP="00CC50E7">
      <w:pPr>
        <w:pStyle w:val="Bullet3"/>
        <w:ind w:left="1080" w:hanging="360"/>
      </w:pPr>
      <w:r>
        <w:rPr>
          <w:sz w:val="20"/>
          <w:szCs w:val="20"/>
        </w:rPr>
        <w:t xml:space="preserve">liczby uruchomionych przez Licencjobiorcę wystąpień oprogramowania serwera oraz </w:t>
      </w:r>
    </w:p>
    <w:p w:rsidR="006A4C79" w:rsidRPr="00BA7B72" w:rsidRDefault="005F7C07" w:rsidP="00CC50E7">
      <w:pPr>
        <w:pStyle w:val="Bullet3"/>
        <w:ind w:left="1080" w:hanging="360"/>
      </w:pPr>
      <w:r>
        <w:rPr>
          <w:sz w:val="20"/>
          <w:szCs w:val="20"/>
        </w:rPr>
        <w:t>liczby urządzeń i użytkowników uzyskujących dostęp do wystąpień oprogramowania serwera.</w:t>
      </w:r>
    </w:p>
    <w:p w:rsidR="00B67FDB" w:rsidRPr="00BA7B72" w:rsidRDefault="005F7C07" w:rsidP="00CC50E7">
      <w:pPr>
        <w:pStyle w:val="Heading2"/>
        <w:tabs>
          <w:tab w:val="clear" w:pos="993"/>
          <w:tab w:val="num" w:pos="720"/>
        </w:tabs>
        <w:ind w:left="720" w:hanging="360"/>
      </w:pPr>
      <w:r>
        <w:rPr>
          <w:sz w:val="20"/>
          <w:szCs w:val="20"/>
        </w:rPr>
        <w:t xml:space="preserve">Postanowienia licencyjne dotyczące używania z serwerem wirtualnym lub innymi podobnymi technologiami </w:t>
      </w:r>
    </w:p>
    <w:p w:rsidR="00B67FDB" w:rsidRPr="00BA7B72" w:rsidRDefault="005F7C07" w:rsidP="00480A78">
      <w:pPr>
        <w:pStyle w:val="Heading3Bold"/>
        <w:numPr>
          <w:ilvl w:val="2"/>
          <w:numId w:val="14"/>
        </w:numPr>
        <w:tabs>
          <w:tab w:val="clear" w:pos="1077"/>
          <w:tab w:val="num" w:pos="1080"/>
        </w:tabs>
        <w:ind w:left="1080" w:hanging="360"/>
      </w:pPr>
      <w:r>
        <w:rPr>
          <w:sz w:val="20"/>
          <w:szCs w:val="20"/>
        </w:rPr>
        <w:t>Wystąpienie</w:t>
      </w:r>
      <w:r w:rsidRPr="00794107">
        <w:rPr>
          <w:sz w:val="20"/>
          <w:szCs w:val="20"/>
        </w:rPr>
        <w:t>.</w:t>
      </w:r>
      <w:r w:rsidR="001D5C49">
        <w:rPr>
          <w:b w:val="0"/>
          <w:bCs w:val="0"/>
          <w:sz w:val="20"/>
          <w:szCs w:val="20"/>
        </w:rPr>
        <w:t xml:space="preserve"> </w:t>
      </w:r>
      <w:r>
        <w:rPr>
          <w:b w:val="0"/>
          <w:bCs w:val="0"/>
          <w:sz w:val="20"/>
          <w:szCs w:val="20"/>
        </w:rPr>
        <w:t>Licencjobiorca tworzy „wystąpienie” poprzez uruchomienie procedury konfiguracyjnej lub instalacyjnej oprogramowania lub przez powielenie istniejącego wystąpienia.</w:t>
      </w:r>
      <w:r w:rsidR="001D5C49">
        <w:rPr>
          <w:b w:val="0"/>
          <w:bCs w:val="0"/>
          <w:sz w:val="20"/>
          <w:szCs w:val="20"/>
        </w:rPr>
        <w:t xml:space="preserve"> </w:t>
      </w:r>
      <w:r>
        <w:rPr>
          <w:b w:val="0"/>
          <w:bCs w:val="0"/>
          <w:sz w:val="20"/>
          <w:szCs w:val="20"/>
        </w:rPr>
        <w:t>Odniesienia do oprogramowania występujące w niniejszej umowie obejmują „wystąpienia” oprogramowania.</w:t>
      </w:r>
    </w:p>
    <w:p w:rsidR="00B67FDB" w:rsidRPr="00BA7B72" w:rsidRDefault="005F7C07" w:rsidP="00480A78">
      <w:pPr>
        <w:pStyle w:val="Heading3Bold"/>
        <w:numPr>
          <w:ilvl w:val="2"/>
          <w:numId w:val="14"/>
        </w:numPr>
        <w:tabs>
          <w:tab w:val="clear" w:pos="1077"/>
          <w:tab w:val="num" w:pos="1080"/>
        </w:tabs>
        <w:ind w:left="1080" w:hanging="360"/>
      </w:pPr>
      <w:r>
        <w:rPr>
          <w:sz w:val="20"/>
          <w:szCs w:val="20"/>
        </w:rPr>
        <w:t>Uruchamianie wystąpienia</w:t>
      </w:r>
      <w:r w:rsidRPr="00794107">
        <w:rPr>
          <w:sz w:val="20"/>
          <w:szCs w:val="20"/>
        </w:rPr>
        <w:t>.</w:t>
      </w:r>
      <w:r w:rsidR="001D5C49">
        <w:rPr>
          <w:b w:val="0"/>
          <w:bCs w:val="0"/>
          <w:sz w:val="20"/>
          <w:szCs w:val="20"/>
        </w:rPr>
        <w:t xml:space="preserve"> </w:t>
      </w:r>
      <w:r>
        <w:rPr>
          <w:b w:val="0"/>
          <w:bCs w:val="0"/>
          <w:sz w:val="20"/>
          <w:szCs w:val="20"/>
        </w:rPr>
        <w:t>„Uruchomienie wystąpienia” oprogramowania następuje przez załadowanie go do pamięci i wykonanie jednej lub więcej instrukcji.</w:t>
      </w:r>
      <w:r w:rsidR="001D5C49">
        <w:rPr>
          <w:b w:val="0"/>
          <w:bCs w:val="0"/>
          <w:sz w:val="20"/>
          <w:szCs w:val="20"/>
        </w:rPr>
        <w:t xml:space="preserve"> </w:t>
      </w:r>
      <w:r>
        <w:rPr>
          <w:b w:val="0"/>
          <w:bCs w:val="0"/>
          <w:sz w:val="20"/>
          <w:szCs w:val="20"/>
        </w:rPr>
        <w:t>Wystąpienie uważa się za</w:t>
      </w:r>
      <w:r w:rsidR="00575E8A">
        <w:rPr>
          <w:b w:val="0"/>
          <w:bCs w:val="0"/>
          <w:sz w:val="20"/>
          <w:szCs w:val="20"/>
        </w:rPr>
        <w:t> </w:t>
      </w:r>
      <w:r>
        <w:rPr>
          <w:b w:val="0"/>
          <w:bCs w:val="0"/>
          <w:sz w:val="20"/>
          <w:szCs w:val="20"/>
        </w:rPr>
        <w:t>uruchomione od jego pierwszego uruchomienia (bez względu na to, czy instrukcje tego wystąpienia są dalej wykonywane) do czasu usunięcia go z pamięci.</w:t>
      </w:r>
    </w:p>
    <w:p w:rsidR="00B67FDB" w:rsidRPr="00BA7B72" w:rsidRDefault="005F7C07" w:rsidP="00480A78">
      <w:pPr>
        <w:pStyle w:val="Heading3Bold"/>
        <w:numPr>
          <w:ilvl w:val="2"/>
          <w:numId w:val="14"/>
        </w:numPr>
        <w:tabs>
          <w:tab w:val="clear" w:pos="1077"/>
          <w:tab w:val="num" w:pos="1080"/>
        </w:tabs>
        <w:ind w:left="1080" w:hanging="360"/>
      </w:pPr>
      <w:r>
        <w:rPr>
          <w:sz w:val="20"/>
          <w:szCs w:val="20"/>
        </w:rPr>
        <w:t>Środowisko systemu operacyjnego („Środowisko Systemu Operacyjnego”)</w:t>
      </w:r>
      <w:r w:rsidRPr="00794107">
        <w:rPr>
          <w:sz w:val="20"/>
          <w:szCs w:val="20"/>
        </w:rPr>
        <w:t>.</w:t>
      </w:r>
      <w:r w:rsidR="001D5C49">
        <w:rPr>
          <w:b w:val="0"/>
          <w:bCs w:val="0"/>
          <w:sz w:val="20"/>
          <w:szCs w:val="20"/>
        </w:rPr>
        <w:t xml:space="preserve"> </w:t>
      </w:r>
      <w:r>
        <w:rPr>
          <w:b w:val="0"/>
          <w:bCs w:val="0"/>
          <w:sz w:val="20"/>
          <w:szCs w:val="20"/>
        </w:rPr>
        <w:t xml:space="preserve">Środowisko systemu operacyjnego </w:t>
      </w:r>
    </w:p>
    <w:p w:rsidR="00B67FDB" w:rsidRPr="00BA7B72" w:rsidRDefault="00266528" w:rsidP="00CC50E7">
      <w:pPr>
        <w:pStyle w:val="Bullet4"/>
        <w:tabs>
          <w:tab w:val="clear" w:pos="1437"/>
          <w:tab w:val="num" w:pos="1440"/>
        </w:tabs>
        <w:ind w:left="1440" w:hanging="360"/>
      </w:pPr>
      <w:r>
        <w:rPr>
          <w:sz w:val="20"/>
          <w:szCs w:val="20"/>
        </w:rPr>
        <w:t xml:space="preserve">to całość lub część wystąpienia systemu operacyjnego lub całość lub część wystąpienia wirtualnego (lub inaczej emulowanego) systemu operacyjnego, które umożliwia istnienie osobnej tożsamości komputera (podstawowej nazwy komputera lub podobnego unikatowego identyfikatora) lub osobnych uprawnień administracyjnych, oraz </w:t>
      </w:r>
    </w:p>
    <w:p w:rsidR="00B67FDB" w:rsidRPr="00BA7B72" w:rsidRDefault="00266528" w:rsidP="00CC50E7">
      <w:pPr>
        <w:pStyle w:val="Bullet4"/>
        <w:tabs>
          <w:tab w:val="clear" w:pos="1437"/>
          <w:tab w:val="num" w:pos="1440"/>
        </w:tabs>
        <w:ind w:left="1440" w:hanging="360"/>
      </w:pPr>
      <w:r>
        <w:rPr>
          <w:sz w:val="20"/>
          <w:szCs w:val="20"/>
        </w:rPr>
        <w:t xml:space="preserve">to ewentualne wystąpienia aplikacji skonfigurowane tak, aby działały w ramach wystąpienia systemu operacyjnego lub jego części wymienionych powyżej. </w:t>
      </w:r>
    </w:p>
    <w:p w:rsidR="00A30398" w:rsidRPr="00BA7B72" w:rsidRDefault="005F7C07" w:rsidP="00CC50E7">
      <w:pPr>
        <w:pStyle w:val="Body3"/>
        <w:tabs>
          <w:tab w:val="num" w:pos="1440"/>
        </w:tabs>
        <w:ind w:left="1440" w:hanging="360"/>
      </w:pPr>
      <w:r>
        <w:rPr>
          <w:sz w:val="20"/>
          <w:szCs w:val="20"/>
        </w:rPr>
        <w:t xml:space="preserve">Istnieją dwa rodzaje Środowiska Systemu Operacyjnego: fizyczne i wirtualne. </w:t>
      </w:r>
    </w:p>
    <w:p w:rsidR="00B776DC" w:rsidRPr="00BA7B72" w:rsidRDefault="005F7C07" w:rsidP="008874DA">
      <w:pPr>
        <w:pStyle w:val="Body3"/>
        <w:tabs>
          <w:tab w:val="num" w:pos="1440"/>
        </w:tabs>
        <w:ind w:left="1080"/>
      </w:pPr>
      <w:r>
        <w:rPr>
          <w:sz w:val="20"/>
          <w:szCs w:val="20"/>
        </w:rPr>
        <w:t>Konfiguracja „</w:t>
      </w:r>
      <w:r>
        <w:rPr>
          <w:iCs/>
          <w:sz w:val="20"/>
          <w:szCs w:val="20"/>
        </w:rPr>
        <w:t>fizycznego Środowiska Systemu Operacyjnego”</w:t>
      </w:r>
      <w:r>
        <w:rPr>
          <w:sz w:val="20"/>
          <w:szCs w:val="20"/>
        </w:rPr>
        <w:t xml:space="preserve"> umożliwia uruchomienie go bezpośrednio w fizycznym systemie sprzętowym.</w:t>
      </w:r>
      <w:r w:rsidR="001D5C49">
        <w:rPr>
          <w:sz w:val="20"/>
          <w:szCs w:val="20"/>
        </w:rPr>
        <w:t xml:space="preserve"> </w:t>
      </w:r>
      <w:r>
        <w:rPr>
          <w:sz w:val="20"/>
          <w:szCs w:val="20"/>
        </w:rPr>
        <w:t>Wystąpienie systemu operacyjnego użyte do uruchomienia oprogramowania do wirtualizacji sprzętu (np. oprogramowania Microsoft Virtual Server lub podobnych technologii) lub do świadczenia usług wirtualizacji sprzętu (np. opracowanej przez Microsoft technologii wirtualizacji) jest uznawane za część fizycznego Środowiska Systemu Operacyjnego.</w:t>
      </w:r>
      <w:r w:rsidR="001D5C49">
        <w:rPr>
          <w:sz w:val="20"/>
          <w:szCs w:val="20"/>
        </w:rPr>
        <w:t xml:space="preserve"> </w:t>
      </w:r>
    </w:p>
    <w:p w:rsidR="00B776DC" w:rsidRPr="00BA7B72" w:rsidRDefault="005F7C07" w:rsidP="008874DA">
      <w:pPr>
        <w:pStyle w:val="Body3"/>
        <w:tabs>
          <w:tab w:val="num" w:pos="1440"/>
        </w:tabs>
        <w:ind w:left="1080"/>
      </w:pPr>
      <w:r>
        <w:rPr>
          <w:sz w:val="20"/>
          <w:szCs w:val="20"/>
        </w:rPr>
        <w:t>Konfiguracja „</w:t>
      </w:r>
      <w:r>
        <w:rPr>
          <w:iCs/>
          <w:sz w:val="20"/>
          <w:szCs w:val="20"/>
        </w:rPr>
        <w:t xml:space="preserve">wirtualnego Środowiska Systemu Operacyjnego” </w:t>
      </w:r>
      <w:r>
        <w:rPr>
          <w:sz w:val="20"/>
          <w:szCs w:val="20"/>
        </w:rPr>
        <w:t xml:space="preserve">umożliwia uruchomienie go w wirtualnym systemie sprzętowym. </w:t>
      </w:r>
    </w:p>
    <w:p w:rsidR="00B67FDB" w:rsidRPr="00BA7B72" w:rsidRDefault="005F7C07" w:rsidP="00CC50E7">
      <w:pPr>
        <w:pStyle w:val="Body3"/>
        <w:tabs>
          <w:tab w:val="num" w:pos="1440"/>
        </w:tabs>
        <w:ind w:left="1440" w:hanging="360"/>
      </w:pPr>
      <w:r>
        <w:rPr>
          <w:sz w:val="20"/>
          <w:szCs w:val="20"/>
        </w:rPr>
        <w:t>Fizyczny system sprzętowy może zawierać jedno lub oba z następujących środowisk:</w:t>
      </w:r>
    </w:p>
    <w:p w:rsidR="00B67FDB" w:rsidRPr="00BA7B72" w:rsidRDefault="005F7C07" w:rsidP="00CC50E7">
      <w:pPr>
        <w:pStyle w:val="Bullet4"/>
        <w:tabs>
          <w:tab w:val="clear" w:pos="1437"/>
          <w:tab w:val="num" w:pos="1440"/>
        </w:tabs>
        <w:ind w:left="1440" w:hanging="360"/>
      </w:pPr>
      <w:r>
        <w:rPr>
          <w:sz w:val="20"/>
          <w:szCs w:val="20"/>
        </w:rPr>
        <w:t>jedno fizyczne środowisko systemu operacyjnego oraz</w:t>
      </w:r>
    </w:p>
    <w:p w:rsidR="00B67FDB" w:rsidRPr="00BA7B72" w:rsidRDefault="005F7C07" w:rsidP="00CC50E7">
      <w:pPr>
        <w:pStyle w:val="Bullet4"/>
        <w:tabs>
          <w:tab w:val="clear" w:pos="1437"/>
          <w:tab w:val="num" w:pos="1440"/>
        </w:tabs>
        <w:ind w:left="1440" w:hanging="360"/>
      </w:pPr>
      <w:r>
        <w:rPr>
          <w:sz w:val="20"/>
          <w:szCs w:val="20"/>
        </w:rPr>
        <w:t>co najmniej jedno wirtualne środowisko systemu operacyjnego.</w:t>
      </w:r>
    </w:p>
    <w:p w:rsidR="00B67FDB" w:rsidRPr="00BA7B72" w:rsidRDefault="005F7C07" w:rsidP="007E2ECA">
      <w:pPr>
        <w:pStyle w:val="Heading3Bold"/>
        <w:numPr>
          <w:ilvl w:val="2"/>
          <w:numId w:val="15"/>
        </w:numPr>
        <w:tabs>
          <w:tab w:val="clear" w:pos="1077"/>
          <w:tab w:val="num" w:pos="1080"/>
        </w:tabs>
        <w:ind w:left="1080"/>
      </w:pPr>
      <w:r>
        <w:rPr>
          <w:sz w:val="20"/>
          <w:szCs w:val="20"/>
        </w:rPr>
        <w:t>Serwer.</w:t>
      </w:r>
      <w:r w:rsidR="001D5C49">
        <w:rPr>
          <w:sz w:val="20"/>
          <w:szCs w:val="20"/>
        </w:rPr>
        <w:t xml:space="preserve"> </w:t>
      </w:r>
      <w:r>
        <w:rPr>
          <w:b w:val="0"/>
          <w:bCs w:val="0"/>
          <w:sz w:val="20"/>
          <w:szCs w:val="20"/>
        </w:rPr>
        <w:t>Serwer to fizyczny system sprzętowy, na którym można uruchomić oprogramowanie serwera.</w:t>
      </w:r>
      <w:r w:rsidR="001D5C49">
        <w:rPr>
          <w:b w:val="0"/>
          <w:bCs w:val="0"/>
          <w:sz w:val="20"/>
          <w:szCs w:val="20"/>
        </w:rPr>
        <w:t xml:space="preserve"> </w:t>
      </w:r>
      <w:r>
        <w:rPr>
          <w:b w:val="0"/>
          <w:bCs w:val="0"/>
          <w:sz w:val="20"/>
          <w:szCs w:val="20"/>
        </w:rPr>
        <w:t>Partycja sprzętowa lub dysk typu blade są uznawane za oddzielne fizyczne systemy sprzętowe.</w:t>
      </w:r>
    </w:p>
    <w:p w:rsidR="00B67FDB" w:rsidRPr="00BA7B72" w:rsidRDefault="005F7C07" w:rsidP="007E2ECA">
      <w:pPr>
        <w:pStyle w:val="Heading3Bold"/>
        <w:numPr>
          <w:ilvl w:val="2"/>
          <w:numId w:val="15"/>
        </w:numPr>
        <w:tabs>
          <w:tab w:val="clear" w:pos="1077"/>
          <w:tab w:val="num" w:pos="1080"/>
        </w:tabs>
        <w:ind w:left="1080"/>
      </w:pPr>
      <w:r>
        <w:rPr>
          <w:sz w:val="20"/>
          <w:szCs w:val="20"/>
        </w:rPr>
        <w:t>Przypisywanie licencji.</w:t>
      </w:r>
      <w:r w:rsidR="001D5C49">
        <w:rPr>
          <w:sz w:val="20"/>
          <w:szCs w:val="20"/>
        </w:rPr>
        <w:t xml:space="preserve"> </w:t>
      </w:r>
      <w:r>
        <w:rPr>
          <w:b w:val="0"/>
          <w:bCs w:val="0"/>
          <w:sz w:val="20"/>
          <w:szCs w:val="20"/>
        </w:rPr>
        <w:t>Przypisanie licencji oznacza przydzielenie jej do jednego urządzenia lub użytkownika.</w:t>
      </w:r>
    </w:p>
    <w:p w:rsidR="003C2DE9" w:rsidRPr="00BA7B72" w:rsidRDefault="005F7C07" w:rsidP="00CC50E7">
      <w:pPr>
        <w:pStyle w:val="Heading1"/>
        <w:keepNext/>
        <w:ind w:left="360" w:hanging="360"/>
      </w:pPr>
      <w:r>
        <w:rPr>
          <w:sz w:val="20"/>
          <w:szCs w:val="20"/>
        </w:rPr>
        <w:t>PRAWA DO UŻYWANIA</w:t>
      </w:r>
    </w:p>
    <w:p w:rsidR="003C2DE9" w:rsidRPr="00BA7B72" w:rsidRDefault="000D3B46" w:rsidP="00CC50E7">
      <w:pPr>
        <w:pStyle w:val="Heading2"/>
        <w:tabs>
          <w:tab w:val="clear" w:pos="993"/>
          <w:tab w:val="num" w:pos="720"/>
        </w:tabs>
        <w:ind w:left="720" w:hanging="360"/>
      </w:pPr>
      <w:r>
        <w:rPr>
          <w:sz w:val="20"/>
          <w:szCs w:val="20"/>
        </w:rPr>
        <w:t>Licencjonowany serwer.</w:t>
      </w:r>
    </w:p>
    <w:p w:rsidR="0014406D" w:rsidRPr="00BA7B72" w:rsidRDefault="000D3B46" w:rsidP="00CC50E7">
      <w:pPr>
        <w:pStyle w:val="Heading3"/>
        <w:tabs>
          <w:tab w:val="num" w:pos="1077"/>
        </w:tabs>
      </w:pPr>
      <w:r>
        <w:rPr>
          <w:sz w:val="20"/>
          <w:szCs w:val="20"/>
        </w:rPr>
        <w:lastRenderedPageBreak/>
        <w:t>Licencjonowany serwer oznacza pojedynczy serwer, do którego jest przypisana licencja.</w:t>
      </w:r>
    </w:p>
    <w:p w:rsidR="003C2DE9" w:rsidRPr="00BA7B72" w:rsidRDefault="005F7C07" w:rsidP="00CC50E7">
      <w:pPr>
        <w:pStyle w:val="Heading3"/>
        <w:tabs>
          <w:tab w:val="num" w:pos="1077"/>
        </w:tabs>
      </w:pPr>
      <w:r>
        <w:rPr>
          <w:sz w:val="20"/>
          <w:szCs w:val="20"/>
        </w:rPr>
        <w:t>Przypisanie licencji oprogramowania serwera można zmienić. Może to jednak nastąpić dopiero po upływie 90 dni od jej ostatniego przypisania.</w:t>
      </w:r>
      <w:r w:rsidR="001D5C49">
        <w:rPr>
          <w:sz w:val="20"/>
          <w:szCs w:val="20"/>
        </w:rPr>
        <w:t xml:space="preserve"> </w:t>
      </w:r>
      <w:r>
        <w:rPr>
          <w:sz w:val="20"/>
          <w:szCs w:val="20"/>
        </w:rPr>
        <w:t>Zmiany przypisania licencji na serwer można dokonać wcześniej, jeśli wskutek trwałej awarii sprzętu licencjonowany serwer przestanie być używany.</w:t>
      </w:r>
      <w:r w:rsidR="001D5C49">
        <w:rPr>
          <w:sz w:val="20"/>
          <w:szCs w:val="20"/>
        </w:rPr>
        <w:t xml:space="preserve"> </w:t>
      </w:r>
      <w:r>
        <w:rPr>
          <w:sz w:val="20"/>
          <w:szCs w:val="20"/>
        </w:rPr>
        <w:t>W przypadku przeniesienia licencji Licencjobiorca musi całkowicie usunąć oprogramowanie z pierwotnego serwera.</w:t>
      </w:r>
      <w:r w:rsidR="001D5C49">
        <w:rPr>
          <w:sz w:val="20"/>
          <w:szCs w:val="20"/>
        </w:rPr>
        <w:t xml:space="preserve"> </w:t>
      </w:r>
      <w:r>
        <w:rPr>
          <w:sz w:val="20"/>
          <w:szCs w:val="20"/>
        </w:rPr>
        <w:t>Licencjonowanym serwerem w ramach tej licencji stanie się ten serwer, do którego zostanie przypisana licencja.</w:t>
      </w:r>
    </w:p>
    <w:p w:rsidR="003C2DE9" w:rsidRPr="00BA7B72" w:rsidRDefault="005F7C07" w:rsidP="00CC50E7">
      <w:pPr>
        <w:pStyle w:val="Heading2"/>
        <w:tabs>
          <w:tab w:val="clear" w:pos="993"/>
          <w:tab w:val="num" w:pos="720"/>
        </w:tabs>
        <w:ind w:left="720" w:hanging="360"/>
      </w:pPr>
      <w:r>
        <w:rPr>
          <w:sz w:val="20"/>
          <w:szCs w:val="20"/>
        </w:rPr>
        <w:t>Uruchamianie wystąpień oprogramowania serwera.</w:t>
      </w:r>
      <w:r w:rsidR="001D5C49">
        <w:rPr>
          <w:sz w:val="20"/>
          <w:szCs w:val="20"/>
        </w:rPr>
        <w:t xml:space="preserve"> </w:t>
      </w:r>
      <w:r>
        <w:rPr>
          <w:b w:val="0"/>
          <w:bCs w:val="0"/>
          <w:sz w:val="20"/>
          <w:szCs w:val="20"/>
        </w:rPr>
        <w:t>W ramach każdej licencji na serwer Licencjobiorca może uruchomić w danym momencie jedno wystąpienie oprogramowania serwera na licencjonowanym serwerze w fizycznym lub wirtualnym środowisku systemu operacyjnego na danym licencjonowanym serwerze.</w:t>
      </w:r>
      <w:r w:rsidR="001D5C49">
        <w:rPr>
          <w:b w:val="0"/>
          <w:bCs w:val="0"/>
          <w:sz w:val="20"/>
          <w:szCs w:val="20"/>
        </w:rPr>
        <w:t xml:space="preserve"> </w:t>
      </w:r>
    </w:p>
    <w:p w:rsidR="00EE6F16" w:rsidRPr="00BA7B72" w:rsidRDefault="005F7C07" w:rsidP="00CC50E7">
      <w:pPr>
        <w:pStyle w:val="Heading2"/>
        <w:tabs>
          <w:tab w:val="clear" w:pos="993"/>
          <w:tab w:val="num" w:pos="720"/>
        </w:tabs>
        <w:ind w:left="720" w:hanging="360"/>
      </w:pPr>
      <w:r>
        <w:rPr>
          <w:sz w:val="20"/>
          <w:szCs w:val="20"/>
        </w:rPr>
        <w:t>Uruchamianie wystąpień dodatkowego oprogramowania</w:t>
      </w:r>
      <w:r w:rsidR="00EC6E11">
        <w:rPr>
          <w:sz w:val="20"/>
          <w:szCs w:val="20"/>
        </w:rPr>
        <w:t xml:space="preserve"> </w:t>
      </w:r>
      <w:r>
        <w:rPr>
          <w:b w:val="0"/>
          <w:bCs w:val="0"/>
          <w:sz w:val="20"/>
          <w:szCs w:val="20"/>
        </w:rPr>
        <w:t>Licencjobiorca może uruchomić dowolną liczbę wystąpień dodatkowego oprogramowania wymienionego poniżej w fizycznych lub wirtualnych środowiskach systemu operacyjnego na dowolnej liczbie urządzeń lub korzystać z tego oprogramowania w inny sposób.</w:t>
      </w:r>
      <w:r w:rsidR="00EC6E11">
        <w:rPr>
          <w:b w:val="0"/>
          <w:bCs w:val="0"/>
          <w:sz w:val="20"/>
          <w:szCs w:val="20"/>
        </w:rPr>
        <w:t xml:space="preserve"> </w:t>
      </w:r>
      <w:r>
        <w:rPr>
          <w:b w:val="0"/>
          <w:bCs w:val="0"/>
          <w:sz w:val="20"/>
          <w:szCs w:val="20"/>
        </w:rPr>
        <w:t xml:space="preserve">Z dodatkowego oprogramowania można korzystać tylko bezpośrednio z oprogramowaniem serwera lub pośrednio za pośrednictwem innego dodatkowego oprogramowania. </w:t>
      </w:r>
    </w:p>
    <w:p w:rsidR="005912D8" w:rsidRPr="00794107" w:rsidRDefault="009F27AF" w:rsidP="00356513">
      <w:pPr>
        <w:pStyle w:val="Bullet3"/>
        <w:numPr>
          <w:ilvl w:val="0"/>
          <w:numId w:val="23"/>
        </w:numPr>
        <w:rPr>
          <w:lang w:val="en-US"/>
        </w:rPr>
      </w:pPr>
      <w:r w:rsidRPr="00794107">
        <w:rPr>
          <w:sz w:val="20"/>
          <w:szCs w:val="20"/>
          <w:lang w:val="en-US"/>
        </w:rPr>
        <w:t>Visual Studio Team Foundation Build Services</w:t>
      </w:r>
    </w:p>
    <w:p w:rsidR="00D769E6" w:rsidRPr="00BA7B72" w:rsidRDefault="005F7C07" w:rsidP="00057836">
      <w:pPr>
        <w:pStyle w:val="Heading2"/>
        <w:tabs>
          <w:tab w:val="clear" w:pos="993"/>
          <w:tab w:val="num" w:pos="720"/>
        </w:tabs>
        <w:ind w:left="720" w:hanging="360"/>
      </w:pPr>
      <w:r>
        <w:rPr>
          <w:sz w:val="20"/>
          <w:szCs w:val="20"/>
        </w:rPr>
        <w:t>Tworzenie i przechowywanie wystąpień na serwerach lub nośnikach magazynowania danych.</w:t>
      </w:r>
      <w:r w:rsidR="00EC6E11">
        <w:rPr>
          <w:sz w:val="20"/>
          <w:szCs w:val="20"/>
        </w:rPr>
        <w:t xml:space="preserve"> </w:t>
      </w:r>
      <w:r>
        <w:rPr>
          <w:b w:val="0"/>
          <w:bCs w:val="0"/>
          <w:sz w:val="20"/>
          <w:szCs w:val="20"/>
        </w:rPr>
        <w:t>W ramach każdej nabytej licencji na oprogramowanie Licencjobiorca może utworzyć i przechowywać dowolną liczbę wystąpień oprogramowania na którymkolwiek ze swoich serwerów lub nośników magazynowania danych.</w:t>
      </w:r>
      <w:r w:rsidR="00EC6E11">
        <w:rPr>
          <w:b w:val="0"/>
          <w:bCs w:val="0"/>
          <w:sz w:val="20"/>
          <w:szCs w:val="20"/>
        </w:rPr>
        <w:t xml:space="preserve"> </w:t>
      </w:r>
      <w:r>
        <w:rPr>
          <w:b w:val="0"/>
          <w:bCs w:val="0"/>
          <w:sz w:val="20"/>
          <w:szCs w:val="20"/>
        </w:rPr>
        <w:t>Jest to możliwe wyłącznie w ramach przysługującego Licencjobiorcy prawa do uruchomienia wystąpień oprogramowania na mocy licencji zgodnie z opisem zawartym w odpowiednich prawach używania (np. Licencjobiorca nie może przekazywać ich osobom trzecim).</w:t>
      </w:r>
    </w:p>
    <w:p w:rsidR="003C2DE9" w:rsidRPr="00BA7B72" w:rsidRDefault="005F7C07" w:rsidP="00057836">
      <w:pPr>
        <w:pStyle w:val="Heading2"/>
        <w:tabs>
          <w:tab w:val="clear" w:pos="993"/>
          <w:tab w:val="num" w:pos="720"/>
        </w:tabs>
        <w:ind w:left="720" w:hanging="360"/>
      </w:pPr>
      <w:r>
        <w:rPr>
          <w:sz w:val="20"/>
          <w:szCs w:val="20"/>
        </w:rPr>
        <w:t>Dołączone aplikacje Microsoft.</w:t>
      </w:r>
      <w:r w:rsidR="00EC6E11">
        <w:rPr>
          <w:sz w:val="20"/>
          <w:szCs w:val="20"/>
        </w:rPr>
        <w:t xml:space="preserve"> </w:t>
      </w:r>
      <w:r>
        <w:rPr>
          <w:b w:val="0"/>
          <w:bCs w:val="0"/>
          <w:sz w:val="20"/>
          <w:szCs w:val="20"/>
        </w:rPr>
        <w:t>Oprogramowanie obejmuje także inne aplikacje Microsoft.</w:t>
      </w:r>
      <w:r w:rsidR="00EC6E11">
        <w:rPr>
          <w:b w:val="0"/>
          <w:bCs w:val="0"/>
          <w:sz w:val="20"/>
          <w:szCs w:val="20"/>
        </w:rPr>
        <w:t xml:space="preserve"> </w:t>
      </w:r>
      <w:r>
        <w:rPr>
          <w:b w:val="0"/>
          <w:bCs w:val="0"/>
          <w:sz w:val="20"/>
          <w:szCs w:val="20"/>
        </w:rPr>
        <w:t>Niniejsze postanowienia licencyjne dotyczą również korzystania z takich aplikacji, z wyjątkiem aplikacji Microsoft określonych w Sekcji</w:t>
      </w:r>
      <w:r>
        <w:rPr>
          <w:b w:val="0"/>
          <w:sz w:val="20"/>
          <w:szCs w:val="20"/>
        </w:rPr>
        <w:t> 5</w:t>
      </w:r>
      <w:r>
        <w:rPr>
          <w:b w:val="0"/>
          <w:bCs w:val="0"/>
          <w:sz w:val="20"/>
          <w:szCs w:val="20"/>
        </w:rPr>
        <w:t>, dla których mają zastosowanie oddzielne postanowienia licencyjne.</w:t>
      </w:r>
    </w:p>
    <w:p w:rsidR="0082164C" w:rsidRPr="00BA7B72" w:rsidRDefault="0082164C" w:rsidP="0082164C">
      <w:pPr>
        <w:pStyle w:val="Heading2"/>
        <w:widowControl w:val="0"/>
        <w:tabs>
          <w:tab w:val="clear" w:pos="993"/>
          <w:tab w:val="num" w:pos="720"/>
          <w:tab w:val="num" w:pos="1080"/>
        </w:tabs>
        <w:ind w:left="720" w:hanging="360"/>
      </w:pPr>
      <w:r>
        <w:rPr>
          <w:rFonts w:eastAsia="SimSun"/>
          <w:sz w:val="20"/>
          <w:szCs w:val="20"/>
        </w:rPr>
        <w:t>Składniki pochodzące od osób trzecich.</w:t>
      </w:r>
      <w:r w:rsidR="00EC6E11">
        <w:rPr>
          <w:rFonts w:eastAsia="SimSun"/>
          <w:sz w:val="20"/>
          <w:szCs w:val="20"/>
        </w:rPr>
        <w:t xml:space="preserve"> </w:t>
      </w:r>
      <w:r>
        <w:rPr>
          <w:b w:val="0"/>
          <w:sz w:val="20"/>
          <w:szCs w:val="20"/>
        </w:rPr>
        <w:t>Oprogramowanie może zawierać składniki pochodzące od osób trzecich, objęte odrębnymi informacjami prawnymi lub podlegające innym umowom, zgodnie z opisem w plikach ThirdPartyNotices dołączonych do oprogramowania. Nawet</w:t>
      </w:r>
      <w:r w:rsidR="00464D5D">
        <w:rPr>
          <w:b w:val="0"/>
          <w:sz w:val="20"/>
          <w:szCs w:val="20"/>
        </w:rPr>
        <w:t> </w:t>
      </w:r>
      <w:r>
        <w:rPr>
          <w:b w:val="0"/>
          <w:sz w:val="20"/>
          <w:szCs w:val="20"/>
        </w:rPr>
        <w:t>jeśli takie składniki podlegają innym umowom, zastosowanie mają również klauzule odrzucenia odpowiedzialności, wyjątki i wyłączenia dotyczące szkód zamieszczone poniżej</w:t>
      </w:r>
      <w:r>
        <w:rPr>
          <w:rFonts w:eastAsia="SimSun"/>
          <w:b w:val="0"/>
          <w:bCs w:val="0"/>
          <w:sz w:val="20"/>
          <w:szCs w:val="20"/>
        </w:rPr>
        <w:t>.</w:t>
      </w:r>
      <w:r w:rsidR="00EC6E11">
        <w:rPr>
          <w:rFonts w:eastAsia="SimSun"/>
          <w:b w:val="0"/>
          <w:bCs w:val="0"/>
          <w:sz w:val="20"/>
          <w:szCs w:val="20"/>
        </w:rPr>
        <w:t xml:space="preserve"> </w:t>
      </w:r>
    </w:p>
    <w:p w:rsidR="003C2DE9" w:rsidRPr="00BA7B72" w:rsidRDefault="005F7C07" w:rsidP="00057836">
      <w:pPr>
        <w:pStyle w:val="Heading1"/>
        <w:keepNext/>
        <w:ind w:left="360" w:hanging="360"/>
      </w:pPr>
      <w:r>
        <w:rPr>
          <w:sz w:val="20"/>
          <w:szCs w:val="20"/>
        </w:rPr>
        <w:t>DODATKOWE WYMAGANIA LICENCYJNE ORAZ PRAWA DO UŻYWANIA</w:t>
      </w:r>
    </w:p>
    <w:p w:rsidR="003C2DE9" w:rsidRPr="00BA7B72" w:rsidRDefault="005F7C07" w:rsidP="00057836">
      <w:pPr>
        <w:pStyle w:val="Heading2"/>
        <w:keepNext/>
        <w:tabs>
          <w:tab w:val="clear" w:pos="993"/>
          <w:tab w:val="num" w:pos="720"/>
        </w:tabs>
        <w:ind w:left="720" w:hanging="360"/>
      </w:pPr>
      <w:r>
        <w:rPr>
          <w:sz w:val="20"/>
          <w:szCs w:val="20"/>
        </w:rPr>
        <w:t>Licencje dostępowe CAL</w:t>
      </w:r>
      <w:r w:rsidR="00EC6E11">
        <w:rPr>
          <w:b w:val="0"/>
          <w:sz w:val="20"/>
          <w:szCs w:val="20"/>
        </w:rPr>
        <w:t xml:space="preserve"> </w:t>
      </w:r>
      <w:r>
        <w:rPr>
          <w:b w:val="0"/>
          <w:sz w:val="20"/>
          <w:szCs w:val="20"/>
        </w:rPr>
        <w:t>Z wyjątkiem przypadków opisanych w tym punkcie każdy dostęp do oprogramowania serwera wymaga uzyskania licencji dostępowej CAL.</w:t>
      </w:r>
      <w:r w:rsidR="00EC6E11">
        <w:rPr>
          <w:b w:val="0"/>
          <w:sz w:val="20"/>
          <w:szCs w:val="20"/>
        </w:rPr>
        <w:t xml:space="preserve"> </w:t>
      </w:r>
      <w:r>
        <w:rPr>
          <w:b w:val="0"/>
          <w:sz w:val="20"/>
          <w:szCs w:val="20"/>
        </w:rPr>
        <w:t>Każdą licencję dostępową należy przypisać do jednego użytkownika lub urządzenia</w:t>
      </w:r>
      <w:r>
        <w:rPr>
          <w:b w:val="0"/>
          <w:bCs w:val="0"/>
          <w:sz w:val="20"/>
          <w:szCs w:val="20"/>
        </w:rPr>
        <w:t>.</w:t>
      </w:r>
      <w:r w:rsidR="00EC6E11">
        <w:rPr>
          <w:b w:val="0"/>
          <w:bCs w:val="0"/>
          <w:sz w:val="20"/>
          <w:szCs w:val="20"/>
        </w:rPr>
        <w:t xml:space="preserve"> </w:t>
      </w:r>
      <w:r>
        <w:rPr>
          <w:b w:val="0"/>
          <w:bCs w:val="0"/>
          <w:sz w:val="20"/>
          <w:szCs w:val="20"/>
        </w:rPr>
        <w:t>Licencje dostępowe nie są wymagane w</w:t>
      </w:r>
      <w:r w:rsidR="00E346BF">
        <w:rPr>
          <w:b w:val="0"/>
          <w:bCs w:val="0"/>
          <w:sz w:val="20"/>
          <w:szCs w:val="20"/>
        </w:rPr>
        <w:t> </w:t>
      </w:r>
      <w:r>
        <w:rPr>
          <w:b w:val="0"/>
          <w:bCs w:val="0"/>
          <w:sz w:val="20"/>
          <w:szCs w:val="20"/>
        </w:rPr>
        <w:t>przypadku:</w:t>
      </w:r>
    </w:p>
    <w:p w:rsidR="003C2DE9" w:rsidRPr="00BA7B72" w:rsidRDefault="007C46AC" w:rsidP="00057836">
      <w:pPr>
        <w:pStyle w:val="Bullet4"/>
        <w:tabs>
          <w:tab w:val="clear" w:pos="1437"/>
          <w:tab w:val="num" w:pos="1080"/>
        </w:tabs>
        <w:ind w:left="1080" w:hanging="360"/>
      </w:pPr>
      <w:r>
        <w:rPr>
          <w:sz w:val="20"/>
          <w:szCs w:val="20"/>
        </w:rPr>
        <w:t>dostępu za pośrednictwem innego Licencjonowanego Serwera lub</w:t>
      </w:r>
    </w:p>
    <w:p w:rsidR="00BA4FCD" w:rsidRPr="00BA7B72" w:rsidRDefault="005F7C07" w:rsidP="00057836">
      <w:pPr>
        <w:pStyle w:val="Bullet4"/>
        <w:tabs>
          <w:tab w:val="clear" w:pos="1437"/>
          <w:tab w:val="num" w:pos="1080"/>
        </w:tabs>
        <w:ind w:left="1080" w:hanging="360"/>
      </w:pPr>
      <w:r>
        <w:rPr>
          <w:sz w:val="20"/>
          <w:szCs w:val="20"/>
        </w:rPr>
        <w:t>maksymalnie dwóch urządzeń lub użytkowników uzyskujących dostęp wyłącznie w celu administrowania oprogramowaniem.</w:t>
      </w:r>
    </w:p>
    <w:p w:rsidR="008B728C" w:rsidRPr="00BA7B72" w:rsidRDefault="005F7C07" w:rsidP="00057836">
      <w:pPr>
        <w:pStyle w:val="Bullet4"/>
        <w:numPr>
          <w:ilvl w:val="0"/>
          <w:numId w:val="0"/>
        </w:numPr>
        <w:ind w:left="720"/>
      </w:pPr>
      <w:r>
        <w:rPr>
          <w:sz w:val="20"/>
          <w:szCs w:val="20"/>
        </w:rPr>
        <w:t>Licencje dostępowe CAL umożliwiają dostęp do odpowiedniej wersji (łącznie z wcześniejszymi wersjami używanymi na podstawie praw do korzystania ze starszych wersji oprogramowania) lub</w:t>
      </w:r>
      <w:r w:rsidR="00464D5D">
        <w:rPr>
          <w:sz w:val="20"/>
          <w:szCs w:val="20"/>
        </w:rPr>
        <w:t> </w:t>
      </w:r>
      <w:r>
        <w:rPr>
          <w:sz w:val="20"/>
          <w:szCs w:val="20"/>
        </w:rPr>
        <w:t>wcześniejszych wersji oprogramowania serwera.</w:t>
      </w:r>
      <w:r w:rsidR="00EC6E11">
        <w:rPr>
          <w:sz w:val="20"/>
          <w:szCs w:val="20"/>
        </w:rPr>
        <w:t xml:space="preserve"> </w:t>
      </w:r>
      <w:r>
        <w:rPr>
          <w:sz w:val="20"/>
          <w:szCs w:val="20"/>
        </w:rPr>
        <w:t>W celu uzyskania dostępu do wystąpień wcześniejszej wersji Licencjobiorca może także używać licencji dostępowych CAL odpowiadających tej wersji.</w:t>
      </w:r>
    </w:p>
    <w:p w:rsidR="003C2DE9" w:rsidRPr="00BA7B72" w:rsidRDefault="00BB4843" w:rsidP="00057836">
      <w:pPr>
        <w:pStyle w:val="Bullet4"/>
        <w:numPr>
          <w:ilvl w:val="0"/>
          <w:numId w:val="0"/>
        </w:numPr>
        <w:ind w:left="720"/>
      </w:pPr>
      <w:r>
        <w:rPr>
          <w:sz w:val="20"/>
          <w:szCs w:val="20"/>
        </w:rPr>
        <w:lastRenderedPageBreak/>
        <w:t>Są dwa typy licencji dostępowych CAL: na urządzenie i na użytkownika.</w:t>
      </w:r>
      <w:r w:rsidR="00EC6E11">
        <w:rPr>
          <w:sz w:val="20"/>
          <w:szCs w:val="20"/>
        </w:rPr>
        <w:t xml:space="preserve"> </w:t>
      </w:r>
      <w:r>
        <w:rPr>
          <w:sz w:val="20"/>
          <w:szCs w:val="20"/>
        </w:rPr>
        <w:t>Każda licencja dostępowa CAL na urządzenie umożliwia dostęp do wystąpień oprogramowania serwera znajdujących się na</w:t>
      </w:r>
      <w:r w:rsidR="00674CCF">
        <w:rPr>
          <w:sz w:val="20"/>
          <w:szCs w:val="20"/>
        </w:rPr>
        <w:t> </w:t>
      </w:r>
      <w:r>
        <w:rPr>
          <w:sz w:val="20"/>
          <w:szCs w:val="20"/>
        </w:rPr>
        <w:t>licencjonowanych serwerach za pomocą jednego urządzenia używanego przez dowolnego użytkownika.</w:t>
      </w:r>
      <w:r w:rsidR="00EC6E11">
        <w:rPr>
          <w:sz w:val="20"/>
          <w:szCs w:val="20"/>
        </w:rPr>
        <w:t xml:space="preserve"> </w:t>
      </w:r>
      <w:r>
        <w:rPr>
          <w:sz w:val="20"/>
          <w:szCs w:val="20"/>
        </w:rPr>
        <w:t>Każda licencja dostępowa CAL na użytkownika umożliwia jednemu użytkownikowi, używającemu dowolnego urządzenia, uzyskiwanie dostępu do wystąpień oprogramowania serwera znajdujących się na licencjonowanych serwerach.</w:t>
      </w:r>
      <w:r w:rsidR="00EC6E11">
        <w:rPr>
          <w:sz w:val="20"/>
          <w:szCs w:val="20"/>
        </w:rPr>
        <w:t xml:space="preserve"> </w:t>
      </w:r>
      <w:r>
        <w:rPr>
          <w:sz w:val="20"/>
          <w:szCs w:val="20"/>
        </w:rPr>
        <w:t>Licencjobiorca może używać kombinacji licencji dostępowych CAL na urządzenie i na użytkownika. Licencje dostępowe Licencjobiorcy umożliwiają dostęp wyłącznie do licencjonowanych serwerów, które należą do Licencjobiorcy (a nie do osób trzecich).</w:t>
      </w:r>
    </w:p>
    <w:p w:rsidR="00D40637" w:rsidRPr="00BA7B72" w:rsidRDefault="00D40637" w:rsidP="00654356">
      <w:pPr>
        <w:pStyle w:val="Heading2"/>
        <w:tabs>
          <w:tab w:val="clear" w:pos="993"/>
          <w:tab w:val="num" w:pos="720"/>
        </w:tabs>
        <w:ind w:left="720" w:hanging="360"/>
      </w:pPr>
      <w:r>
        <w:rPr>
          <w:sz w:val="20"/>
          <w:szCs w:val="20"/>
        </w:rPr>
        <w:t xml:space="preserve">Użytkownicy początkowi. </w:t>
      </w:r>
      <w:r>
        <w:rPr>
          <w:b w:val="0"/>
          <w:sz w:val="20"/>
          <w:szCs w:val="20"/>
        </w:rPr>
        <w:t>Bez licencji dostępowej CAL do jednego wystąpienia oprogramowania serwera można podłączyć maksymalnie pięciu użytkowników.</w:t>
      </w:r>
      <w:r w:rsidR="00EC6E11">
        <w:rPr>
          <w:b w:val="0"/>
          <w:sz w:val="20"/>
          <w:szCs w:val="20"/>
        </w:rPr>
        <w:t xml:space="preserve"> </w:t>
      </w:r>
      <w:r>
        <w:rPr>
          <w:b w:val="0"/>
          <w:sz w:val="20"/>
          <w:szCs w:val="20"/>
        </w:rPr>
        <w:t>Szósty użytkownik i pozostali dodatkowi użytkownicy potrzebują licencji dostępowej CAL, aby uzyskać dostęp do oprogramowania serwera.</w:t>
      </w:r>
    </w:p>
    <w:p w:rsidR="0093564D" w:rsidRPr="00BA7B72" w:rsidRDefault="0002605D" w:rsidP="00654356">
      <w:pPr>
        <w:pStyle w:val="Heading2"/>
        <w:tabs>
          <w:tab w:val="clear" w:pos="993"/>
          <w:tab w:val="num" w:pos="720"/>
        </w:tabs>
        <w:ind w:left="720" w:hanging="360"/>
      </w:pPr>
      <w:r>
        <w:rPr>
          <w:sz w:val="20"/>
          <w:szCs w:val="20"/>
        </w:rPr>
        <w:t>Użycie niewymagające licencji dostępowej CAL.</w:t>
      </w:r>
      <w:r w:rsidR="00EC6E11">
        <w:rPr>
          <w:sz w:val="20"/>
          <w:szCs w:val="20"/>
        </w:rPr>
        <w:t xml:space="preserve"> </w:t>
      </w:r>
      <w:r>
        <w:rPr>
          <w:b w:val="0"/>
          <w:sz w:val="20"/>
          <w:szCs w:val="20"/>
        </w:rPr>
        <w:t>Licencja dostępowa CAL nie jest wymagana:</w:t>
      </w:r>
    </w:p>
    <w:p w:rsidR="0093564D" w:rsidRPr="00BA7B72" w:rsidRDefault="00317891" w:rsidP="005436C2">
      <w:pPr>
        <w:pStyle w:val="Bullet4"/>
        <w:tabs>
          <w:tab w:val="clear" w:pos="1437"/>
          <w:tab w:val="num" w:pos="1080"/>
        </w:tabs>
        <w:ind w:left="1080" w:hanging="360"/>
      </w:pPr>
      <w:r>
        <w:rPr>
          <w:sz w:val="20"/>
          <w:szCs w:val="20"/>
        </w:rPr>
        <w:t>do wyświetlania, edytowania lub wprowadzania elementów roboczych;</w:t>
      </w:r>
    </w:p>
    <w:p w:rsidR="00317891" w:rsidRPr="00BA7B72" w:rsidRDefault="00317891" w:rsidP="005436C2">
      <w:pPr>
        <w:pStyle w:val="Bullet4"/>
        <w:tabs>
          <w:tab w:val="clear" w:pos="1437"/>
          <w:tab w:val="num" w:pos="1080"/>
        </w:tabs>
        <w:ind w:left="1080" w:hanging="360"/>
      </w:pPr>
      <w:r>
        <w:rPr>
          <w:sz w:val="20"/>
          <w:szCs w:val="20"/>
        </w:rPr>
        <w:t>do uzyskania dostępu do funkcji Team Foundation Server Reporting;</w:t>
      </w:r>
    </w:p>
    <w:p w:rsidR="0093564D" w:rsidRPr="00BA7B72" w:rsidRDefault="0093564D" w:rsidP="005436C2">
      <w:pPr>
        <w:pStyle w:val="Bullet4"/>
        <w:tabs>
          <w:tab w:val="clear" w:pos="1437"/>
          <w:tab w:val="num" w:pos="1080"/>
        </w:tabs>
        <w:ind w:left="1080" w:hanging="360"/>
      </w:pPr>
      <w:r>
        <w:rPr>
          <w:sz w:val="20"/>
          <w:szCs w:val="20"/>
        </w:rPr>
        <w:t>do uzyskiwania dostępu do usługi Visual Studio Team Services za pośrednictwem oprogramowania Team Foundation Server 2017 Proxy;</w:t>
      </w:r>
    </w:p>
    <w:p w:rsidR="00907F9A" w:rsidRPr="00BA7B72" w:rsidRDefault="00317891" w:rsidP="005436C2">
      <w:pPr>
        <w:pStyle w:val="Bullet4"/>
        <w:tabs>
          <w:tab w:val="clear" w:pos="1437"/>
          <w:tab w:val="num" w:pos="1080"/>
        </w:tabs>
        <w:ind w:left="1080" w:hanging="360"/>
      </w:pPr>
      <w:r>
        <w:rPr>
          <w:sz w:val="20"/>
          <w:szCs w:val="20"/>
        </w:rPr>
        <w:t xml:space="preserve">do zatwierdzania etapów za pomocą potoku aplikacji Release Management; </w:t>
      </w:r>
    </w:p>
    <w:p w:rsidR="003A17C4" w:rsidRPr="00BA7B72" w:rsidRDefault="009B7E14" w:rsidP="003A17C4">
      <w:pPr>
        <w:pStyle w:val="Bullet4"/>
        <w:tabs>
          <w:tab w:val="clear" w:pos="1437"/>
          <w:tab w:val="num" w:pos="1080"/>
        </w:tabs>
        <w:ind w:left="1080" w:hanging="360"/>
      </w:pPr>
      <w:r>
        <w:rPr>
          <w:sz w:val="20"/>
          <w:szCs w:val="20"/>
        </w:rPr>
        <w:t>do uzyskiwania dostępu do oprogramowania Visual Studio Team Foundation Server za pośrednictwem buforowanego połączenia z innej zintegrowanej aplikacji lub usługi;</w:t>
      </w:r>
    </w:p>
    <w:p w:rsidR="009B7E14" w:rsidRPr="00BA7B72" w:rsidRDefault="003A17C4" w:rsidP="003A17C4">
      <w:pPr>
        <w:pStyle w:val="Bullet4"/>
        <w:tabs>
          <w:tab w:val="clear" w:pos="1437"/>
          <w:tab w:val="num" w:pos="1080"/>
        </w:tabs>
        <w:ind w:left="1080" w:hanging="360"/>
      </w:pPr>
      <w:r>
        <w:rPr>
          <w:sz w:val="20"/>
          <w:szCs w:val="20"/>
        </w:rPr>
        <w:t>w przypadku opłaconych użytkowników w usłudze Visual Studio Team Services</w:t>
      </w:r>
    </w:p>
    <w:p w:rsidR="005774AA" w:rsidRPr="00BA7B72" w:rsidRDefault="005774AA" w:rsidP="002A52B9">
      <w:pPr>
        <w:pStyle w:val="Heading2"/>
        <w:keepNext/>
        <w:tabs>
          <w:tab w:val="clear" w:pos="993"/>
          <w:tab w:val="num" w:pos="720"/>
        </w:tabs>
        <w:ind w:left="720" w:hanging="360"/>
      </w:pPr>
      <w:r w:rsidRPr="00794107">
        <w:rPr>
          <w:sz w:val="20"/>
          <w:szCs w:val="20"/>
          <w:lang w:val="en-US"/>
        </w:rPr>
        <w:t>Visual Studio Team Foundation Server Build Services.</w:t>
      </w:r>
      <w:r w:rsidR="00EC6E11" w:rsidRPr="00794107">
        <w:rPr>
          <w:b w:val="0"/>
          <w:sz w:val="20"/>
          <w:szCs w:val="20"/>
          <w:lang w:val="en-US"/>
        </w:rPr>
        <w:t xml:space="preserve"> </w:t>
      </w:r>
      <w:r>
        <w:rPr>
          <w:b w:val="0"/>
          <w:sz w:val="20"/>
          <w:szCs w:val="20"/>
        </w:rPr>
        <w:t>W przypadku jednego lub wielu licencjonowanych użytkowników oprogramowania Visual Studio Enterprise z MSDN, Visual Studio</w:t>
      </w:r>
      <w:r w:rsidR="00907B49">
        <w:rPr>
          <w:b w:val="0"/>
          <w:sz w:val="20"/>
          <w:szCs w:val="20"/>
        </w:rPr>
        <w:t> </w:t>
      </w:r>
      <w:r>
        <w:rPr>
          <w:b w:val="0"/>
          <w:sz w:val="20"/>
          <w:szCs w:val="20"/>
        </w:rPr>
        <w:t>Professional z MSDN lub dowolnego oprogramowania zastępującego wymienione powyżej programy, Licencjobiorca może również zainstalować oprogramowanie Visual Studio i zezwolić na</w:t>
      </w:r>
      <w:r w:rsidR="00907B49">
        <w:rPr>
          <w:b w:val="0"/>
          <w:sz w:val="20"/>
          <w:szCs w:val="20"/>
        </w:rPr>
        <w:t> </w:t>
      </w:r>
      <w:r>
        <w:rPr>
          <w:b w:val="0"/>
          <w:sz w:val="20"/>
          <w:szCs w:val="20"/>
        </w:rPr>
        <w:t>dostęp oraz używanie go w ramach usług Team Foundation Server 2017 Build Services przez swoich licencjonowanych użytkowników i na licencjonowanych urządzeniach objętych licencją na oprogramowanie.</w:t>
      </w:r>
    </w:p>
    <w:p w:rsidR="003C2DE9" w:rsidRPr="00BA7B72" w:rsidRDefault="005F7C07" w:rsidP="00057836">
      <w:pPr>
        <w:pStyle w:val="Heading2"/>
        <w:keepNext/>
        <w:tabs>
          <w:tab w:val="clear" w:pos="993"/>
          <w:tab w:val="num" w:pos="720"/>
        </w:tabs>
        <w:ind w:left="720" w:hanging="360"/>
      </w:pPr>
      <w:r>
        <w:rPr>
          <w:sz w:val="20"/>
          <w:szCs w:val="20"/>
        </w:rPr>
        <w:t>Zmiana przypisania licencji dostępowych CAL.</w:t>
      </w:r>
      <w:r w:rsidR="00EC6E11">
        <w:rPr>
          <w:sz w:val="20"/>
          <w:szCs w:val="20"/>
        </w:rPr>
        <w:t xml:space="preserve"> </w:t>
      </w:r>
      <w:r>
        <w:rPr>
          <w:b w:val="0"/>
          <w:bCs w:val="0"/>
          <w:sz w:val="20"/>
          <w:szCs w:val="20"/>
        </w:rPr>
        <w:t>Licencjobiorca może:</w:t>
      </w:r>
    </w:p>
    <w:p w:rsidR="003C2DE9" w:rsidRPr="00BA7B72" w:rsidRDefault="005F7C07" w:rsidP="00057836">
      <w:pPr>
        <w:pStyle w:val="Bullet4"/>
        <w:tabs>
          <w:tab w:val="clear" w:pos="1437"/>
          <w:tab w:val="num" w:pos="1080"/>
        </w:tabs>
        <w:ind w:left="1080" w:hanging="360"/>
      </w:pPr>
      <w:r>
        <w:rPr>
          <w:sz w:val="20"/>
          <w:szCs w:val="20"/>
        </w:rPr>
        <w:t>zmienić na stałe przypisanie posiadanej licencji dostępowej CAL na urządzenie z jednego urządzenia na inne urządzenie lub posiadanej licencji CAL na użytkownika z jednego użytkownika na innego użytkownika lub</w:t>
      </w:r>
    </w:p>
    <w:p w:rsidR="003C2DE9" w:rsidRPr="00BA7B72" w:rsidRDefault="005F7C07" w:rsidP="00057836">
      <w:pPr>
        <w:pStyle w:val="Bullet4"/>
        <w:tabs>
          <w:tab w:val="clear" w:pos="1437"/>
          <w:tab w:val="num" w:pos="1080"/>
        </w:tabs>
        <w:ind w:left="1080" w:hanging="360"/>
      </w:pPr>
      <w:r>
        <w:rPr>
          <w:sz w:val="20"/>
          <w:szCs w:val="20"/>
        </w:rPr>
        <w:t>zmienić tymczasowo (krótkoterminowo) przypisanie licencji dostępowej CAL na urządzenie z</w:t>
      </w:r>
      <w:r w:rsidR="00907B49">
        <w:rPr>
          <w:sz w:val="20"/>
          <w:szCs w:val="20"/>
        </w:rPr>
        <w:t> </w:t>
      </w:r>
      <w:r>
        <w:rPr>
          <w:sz w:val="20"/>
          <w:szCs w:val="20"/>
        </w:rPr>
        <w:t>uszkodzonego urządzenia na inne lub zmienić przypisanie licencji dostępowej CAL na użytkownika z nieobecnego użytkownika na innego użytkownika zastępczego.</w:t>
      </w:r>
      <w:r w:rsidR="00EC6E11">
        <w:rPr>
          <w:sz w:val="20"/>
          <w:szCs w:val="20"/>
        </w:rPr>
        <w:t xml:space="preserve"> </w:t>
      </w:r>
      <w:r>
        <w:rPr>
          <w:sz w:val="20"/>
          <w:szCs w:val="20"/>
        </w:rPr>
        <w:t>Dopuszcza się</w:t>
      </w:r>
      <w:r w:rsidR="00907B49">
        <w:rPr>
          <w:sz w:val="20"/>
          <w:szCs w:val="20"/>
        </w:rPr>
        <w:t> </w:t>
      </w:r>
      <w:r>
        <w:rPr>
          <w:sz w:val="20"/>
          <w:szCs w:val="20"/>
        </w:rPr>
        <w:t>krótkoterminowe zmiany przypisania licencji dostępowych CAL tylko w przypadku zmian tymczasowych; zmiana przypisania tych licencji w jakimkolwiek innym celu lub w innych ramach czasowych musi mieć charakter trwały.</w:t>
      </w:r>
      <w:r w:rsidR="00EC6E11">
        <w:rPr>
          <w:sz w:val="20"/>
          <w:szCs w:val="20"/>
        </w:rPr>
        <w:t xml:space="preserve"> </w:t>
      </w:r>
      <w:r>
        <w:rPr>
          <w:sz w:val="20"/>
          <w:szCs w:val="20"/>
        </w:rPr>
        <w:t>Oznacza to, że zmiana przypisania licencji przez Licencjobiorcę z urządzenia A na urządzenie B uniemożliwia późniejszą zmianę przypisania licencji z urządzenia B z powrotem na urządzenie A [z wyjątkiem przypadków dozwolonych na mocy postanowienia o tymczasowej zmianie przypisania].</w:t>
      </w:r>
    </w:p>
    <w:p w:rsidR="00D53580" w:rsidRPr="00BA7B72" w:rsidRDefault="00E078FC" w:rsidP="00D53580">
      <w:pPr>
        <w:pStyle w:val="Heading2"/>
        <w:keepNext/>
        <w:tabs>
          <w:tab w:val="clear" w:pos="993"/>
          <w:tab w:val="num" w:pos="720"/>
        </w:tabs>
        <w:ind w:left="720" w:hanging="360"/>
      </w:pPr>
      <w:bookmarkStart w:id="1" w:name="_Hlk493857328"/>
      <w:bookmarkStart w:id="2" w:name="_Ref324604863"/>
      <w:r>
        <w:rPr>
          <w:sz w:val="20"/>
          <w:szCs w:val="20"/>
        </w:rPr>
        <w:lastRenderedPageBreak/>
        <w:t>Wymagane licencje dodatkowe.</w:t>
      </w:r>
      <w:r w:rsidR="00EC6E11">
        <w:rPr>
          <w:sz w:val="20"/>
          <w:szCs w:val="20"/>
        </w:rPr>
        <w:t xml:space="preserve"> </w:t>
      </w:r>
      <w:r>
        <w:rPr>
          <w:b w:val="0"/>
          <w:sz w:val="20"/>
          <w:szCs w:val="20"/>
        </w:rPr>
        <w:t>Aby móc korzystać z funkcji oprogramowania, zarządzać testami, zarządzać pakietami lub przeprowadzać równoległe wdrożenia za pomocą aplikacji Release Management, użytkownik musi mieć licencję na jedną z poniższych subskrypcji:</w:t>
      </w:r>
    </w:p>
    <w:p w:rsidR="00286990" w:rsidRPr="00BA7B72" w:rsidRDefault="00A862E3" w:rsidP="006A68F8">
      <w:pPr>
        <w:pStyle w:val="Bullet4"/>
        <w:tabs>
          <w:tab w:val="clear" w:pos="1437"/>
          <w:tab w:val="num" w:pos="1080"/>
        </w:tabs>
        <w:ind w:left="1080" w:hanging="360"/>
      </w:pPr>
      <w:r>
        <w:rPr>
          <w:sz w:val="20"/>
          <w:szCs w:val="20"/>
          <w:u w:val="single"/>
        </w:rPr>
        <w:t>Zarządzanie testami</w:t>
      </w:r>
    </w:p>
    <w:bookmarkEnd w:id="1"/>
    <w:p w:rsidR="00A22FCC" w:rsidRPr="00BA7B72" w:rsidRDefault="00E078FC" w:rsidP="00345753">
      <w:pPr>
        <w:pStyle w:val="Heading2"/>
        <w:widowControl w:val="0"/>
        <w:numPr>
          <w:ilvl w:val="0"/>
          <w:numId w:val="0"/>
        </w:numPr>
        <w:ind w:left="1080"/>
      </w:pPr>
      <w:r>
        <w:rPr>
          <w:b w:val="0"/>
          <w:sz w:val="20"/>
          <w:szCs w:val="20"/>
        </w:rPr>
        <w:t xml:space="preserve">Subskrypcja programu Visual Studio Enterprise </w:t>
      </w:r>
    </w:p>
    <w:p w:rsidR="00A22FCC" w:rsidRPr="00BA7B72" w:rsidRDefault="00C31D7A" w:rsidP="00345753">
      <w:pPr>
        <w:pStyle w:val="Heading2"/>
        <w:widowControl w:val="0"/>
        <w:numPr>
          <w:ilvl w:val="0"/>
          <w:numId w:val="0"/>
        </w:numPr>
        <w:ind w:left="1080"/>
      </w:pPr>
      <w:r>
        <w:rPr>
          <w:b w:val="0"/>
          <w:sz w:val="20"/>
          <w:szCs w:val="20"/>
        </w:rPr>
        <w:t xml:space="preserve">Visual Studio Enterprise — subskrypcja miesięczna </w:t>
      </w:r>
    </w:p>
    <w:p w:rsidR="00A22FCC" w:rsidRPr="00BA7B72" w:rsidRDefault="00C31D7A" w:rsidP="00345753">
      <w:pPr>
        <w:pStyle w:val="Heading2"/>
        <w:widowControl w:val="0"/>
        <w:numPr>
          <w:ilvl w:val="0"/>
          <w:numId w:val="0"/>
        </w:numPr>
        <w:ind w:left="1080"/>
      </w:pPr>
      <w:r>
        <w:rPr>
          <w:b w:val="0"/>
          <w:sz w:val="20"/>
          <w:szCs w:val="20"/>
        </w:rPr>
        <w:t>Visual Studio Enterprise — subskrypcja roczna</w:t>
      </w:r>
      <w:r w:rsidR="00EC6E11">
        <w:rPr>
          <w:b w:val="0"/>
          <w:sz w:val="20"/>
          <w:szCs w:val="20"/>
        </w:rPr>
        <w:t xml:space="preserve"> </w:t>
      </w:r>
    </w:p>
    <w:p w:rsidR="00A22FCC" w:rsidRPr="00BA7B72" w:rsidRDefault="009617CD" w:rsidP="00345753">
      <w:pPr>
        <w:pStyle w:val="Heading2"/>
        <w:widowControl w:val="0"/>
        <w:numPr>
          <w:ilvl w:val="0"/>
          <w:numId w:val="0"/>
        </w:numPr>
        <w:ind w:left="1080"/>
      </w:pPr>
      <w:r>
        <w:rPr>
          <w:b w:val="0"/>
          <w:sz w:val="20"/>
          <w:szCs w:val="20"/>
        </w:rPr>
        <w:t>Platformy MSDN</w:t>
      </w:r>
      <w:bookmarkEnd w:id="2"/>
      <w:r>
        <w:rPr>
          <w:b w:val="0"/>
          <w:sz w:val="20"/>
          <w:szCs w:val="20"/>
        </w:rPr>
        <w:t xml:space="preserve"> lub</w:t>
      </w:r>
    </w:p>
    <w:p w:rsidR="00753122" w:rsidRPr="00BA7B72" w:rsidRDefault="003C4EF2" w:rsidP="00345753">
      <w:pPr>
        <w:pStyle w:val="Heading2"/>
        <w:widowControl w:val="0"/>
        <w:numPr>
          <w:ilvl w:val="0"/>
          <w:numId w:val="0"/>
        </w:numPr>
        <w:ind w:left="1080"/>
      </w:pPr>
      <w:r>
        <w:rPr>
          <w:b w:val="0"/>
          <w:sz w:val="20"/>
          <w:szCs w:val="20"/>
        </w:rPr>
        <w:t>Płatny plan dla Menedżera testów w usłudze Visual Studio Team Services</w:t>
      </w:r>
    </w:p>
    <w:p w:rsidR="00E92217" w:rsidRPr="00BA7B72" w:rsidRDefault="00E92217" w:rsidP="00E92217">
      <w:pPr>
        <w:pStyle w:val="Bullet4"/>
        <w:tabs>
          <w:tab w:val="clear" w:pos="1437"/>
          <w:tab w:val="num" w:pos="1080"/>
        </w:tabs>
        <w:ind w:left="1080" w:hanging="360"/>
      </w:pPr>
      <w:r>
        <w:rPr>
          <w:sz w:val="20"/>
          <w:szCs w:val="20"/>
          <w:u w:val="single"/>
        </w:rPr>
        <w:t>Zarządzanie pakietami</w:t>
      </w:r>
    </w:p>
    <w:p w:rsidR="00E92217" w:rsidRPr="00BA7B72" w:rsidRDefault="00E92217" w:rsidP="00655210">
      <w:pPr>
        <w:pStyle w:val="Heading2"/>
        <w:widowControl w:val="0"/>
        <w:numPr>
          <w:ilvl w:val="0"/>
          <w:numId w:val="0"/>
        </w:numPr>
        <w:ind w:left="1080"/>
      </w:pPr>
      <w:r>
        <w:rPr>
          <w:b w:val="0"/>
          <w:sz w:val="20"/>
          <w:szCs w:val="20"/>
        </w:rPr>
        <w:t xml:space="preserve">Subskrypcja programu Visual Studio Enterprise </w:t>
      </w:r>
    </w:p>
    <w:p w:rsidR="00E92217" w:rsidRPr="00BA7B72" w:rsidRDefault="00E92217" w:rsidP="00655210">
      <w:pPr>
        <w:pStyle w:val="Heading2"/>
        <w:widowControl w:val="0"/>
        <w:numPr>
          <w:ilvl w:val="0"/>
          <w:numId w:val="0"/>
        </w:numPr>
        <w:ind w:left="1080"/>
      </w:pPr>
      <w:r>
        <w:rPr>
          <w:b w:val="0"/>
          <w:sz w:val="20"/>
          <w:szCs w:val="20"/>
        </w:rPr>
        <w:t xml:space="preserve">Visual Studio Enterprise — subskrypcja miesięczna </w:t>
      </w:r>
    </w:p>
    <w:p w:rsidR="00E92217" w:rsidRPr="00BA7B72" w:rsidRDefault="00E92217" w:rsidP="00655210">
      <w:pPr>
        <w:pStyle w:val="Heading2"/>
        <w:widowControl w:val="0"/>
        <w:numPr>
          <w:ilvl w:val="0"/>
          <w:numId w:val="0"/>
        </w:numPr>
        <w:ind w:left="1080"/>
      </w:pPr>
      <w:r>
        <w:rPr>
          <w:b w:val="0"/>
          <w:sz w:val="20"/>
          <w:szCs w:val="20"/>
        </w:rPr>
        <w:t xml:space="preserve">Visual Studio Enterprise — subskrypcja roczna lub </w:t>
      </w:r>
    </w:p>
    <w:p w:rsidR="00E92217" w:rsidRPr="00BA7B72" w:rsidRDefault="003C4EF2" w:rsidP="00655210">
      <w:pPr>
        <w:pStyle w:val="Heading2"/>
        <w:widowControl w:val="0"/>
        <w:numPr>
          <w:ilvl w:val="0"/>
          <w:numId w:val="0"/>
        </w:numPr>
        <w:ind w:left="1080"/>
      </w:pPr>
      <w:r>
        <w:rPr>
          <w:b w:val="0"/>
          <w:sz w:val="20"/>
          <w:szCs w:val="20"/>
        </w:rPr>
        <w:t>Płatny plan dla Zarządzania pakietami w usłudze Visual Studio Team Services</w:t>
      </w:r>
    </w:p>
    <w:p w:rsidR="0027754A" w:rsidRPr="00BA7B72" w:rsidRDefault="0027754A" w:rsidP="0019394B">
      <w:pPr>
        <w:pStyle w:val="Bullet4"/>
        <w:numPr>
          <w:ilvl w:val="0"/>
          <w:numId w:val="26"/>
        </w:numPr>
        <w:ind w:left="1080"/>
      </w:pPr>
      <w:r>
        <w:rPr>
          <w:u w:val="single"/>
        </w:rPr>
        <w:t>Równoległe wdrożenia za pomocą aplikacji Release Management</w:t>
      </w:r>
      <w:r>
        <w:t xml:space="preserve"> (</w:t>
      </w:r>
      <w:bookmarkStart w:id="3" w:name="_Hlk493857654"/>
      <w:r>
        <w:t>1 licencja dołączona do licencji na serwer</w:t>
      </w:r>
      <w:bookmarkEnd w:id="3"/>
      <w:r>
        <w:t>)</w:t>
      </w:r>
    </w:p>
    <w:p w:rsidR="0027754A" w:rsidRPr="00BA7B72" w:rsidRDefault="00E92217" w:rsidP="00655210">
      <w:pPr>
        <w:pStyle w:val="Heading2"/>
        <w:keepNext/>
        <w:numPr>
          <w:ilvl w:val="0"/>
          <w:numId w:val="0"/>
        </w:numPr>
        <w:ind w:left="720" w:firstLine="360"/>
      </w:pPr>
      <w:r>
        <w:rPr>
          <w:b w:val="0"/>
          <w:sz w:val="20"/>
          <w:szCs w:val="20"/>
        </w:rPr>
        <w:t>Dodatkowe równoległe wdrożenia są dołączone do zakupów następujących licencji:</w:t>
      </w:r>
    </w:p>
    <w:p w:rsidR="00E92217" w:rsidRPr="00BA7B72" w:rsidRDefault="0027754A" w:rsidP="00352D23">
      <w:pPr>
        <w:pStyle w:val="Heading2"/>
        <w:keepNext/>
        <w:numPr>
          <w:ilvl w:val="0"/>
          <w:numId w:val="0"/>
        </w:numPr>
        <w:ind w:left="1080"/>
      </w:pPr>
      <w:r>
        <w:rPr>
          <w:b w:val="0"/>
          <w:sz w:val="20"/>
          <w:szCs w:val="20"/>
        </w:rPr>
        <w:t xml:space="preserve">Subskrypcja programu Visual Studio Enterprise </w:t>
      </w:r>
    </w:p>
    <w:p w:rsidR="00E92217" w:rsidRPr="00BA7B72" w:rsidRDefault="00E92217" w:rsidP="00352D23">
      <w:pPr>
        <w:pStyle w:val="Heading2"/>
        <w:widowControl w:val="0"/>
        <w:numPr>
          <w:ilvl w:val="0"/>
          <w:numId w:val="0"/>
        </w:numPr>
        <w:ind w:left="1080"/>
      </w:pPr>
      <w:r>
        <w:rPr>
          <w:b w:val="0"/>
          <w:sz w:val="20"/>
          <w:szCs w:val="20"/>
        </w:rPr>
        <w:t xml:space="preserve">Visual Studio Enterprise — subskrypcja miesięczna </w:t>
      </w:r>
    </w:p>
    <w:p w:rsidR="0027754A" w:rsidRPr="00BA7B72" w:rsidRDefault="00E92217" w:rsidP="00352D23">
      <w:pPr>
        <w:pStyle w:val="Heading2"/>
        <w:widowControl w:val="0"/>
        <w:numPr>
          <w:ilvl w:val="0"/>
          <w:numId w:val="0"/>
        </w:numPr>
        <w:ind w:left="1080"/>
      </w:pPr>
      <w:r>
        <w:rPr>
          <w:b w:val="0"/>
          <w:sz w:val="20"/>
          <w:szCs w:val="20"/>
        </w:rPr>
        <w:t>Visual Studio Enterprise — subskrypcja roczna lub</w:t>
      </w:r>
    </w:p>
    <w:p w:rsidR="0052193C" w:rsidRPr="00BA7B72" w:rsidRDefault="0027754A" w:rsidP="00E50CA2">
      <w:pPr>
        <w:ind w:left="360" w:firstLine="720"/>
      </w:pPr>
      <w:r>
        <w:t>Potok prywatny kompilacji i wydania w usłudze Visual Studio Team Services</w:t>
      </w:r>
    </w:p>
    <w:p w:rsidR="00FE0F5D" w:rsidRPr="00BA7B72" w:rsidRDefault="00FE0F5D" w:rsidP="004631B8">
      <w:pPr>
        <w:tabs>
          <w:tab w:val="left" w:pos="1590"/>
        </w:tabs>
        <w:spacing w:before="80"/>
      </w:pPr>
    </w:p>
    <w:p w:rsidR="00923842" w:rsidRPr="00BA7B72" w:rsidRDefault="005F7C07" w:rsidP="00E50CA2">
      <w:pPr>
        <w:pStyle w:val="Heading2"/>
        <w:keepNext/>
        <w:tabs>
          <w:tab w:val="clear" w:pos="993"/>
          <w:tab w:val="num" w:pos="720"/>
        </w:tabs>
        <w:spacing w:before="0" w:after="0"/>
        <w:ind w:left="720" w:hanging="360"/>
      </w:pPr>
      <w:r>
        <w:rPr>
          <w:sz w:val="20"/>
          <w:szCs w:val="20"/>
        </w:rPr>
        <w:t>Multipleksowanie.</w:t>
      </w:r>
      <w:r w:rsidR="00EC6E11">
        <w:rPr>
          <w:sz w:val="20"/>
          <w:szCs w:val="20"/>
        </w:rPr>
        <w:t xml:space="preserve"> </w:t>
      </w:r>
      <w:r>
        <w:rPr>
          <w:b w:val="0"/>
          <w:sz w:val="20"/>
          <w:szCs w:val="20"/>
        </w:rPr>
        <w:t>Multipleksowanie lub buforowanie przeprowadzone w celu zmniejszenia liczby bezpośrednich połączeń z oprogramowaniem nie powodują zredukowania liczby wymaganych licencji dostępowych CAL.</w:t>
      </w:r>
    </w:p>
    <w:p w:rsidR="003C2DE9" w:rsidRPr="00BA7B72" w:rsidRDefault="005F7C07" w:rsidP="00182600">
      <w:pPr>
        <w:pStyle w:val="Heading2"/>
        <w:keepNext/>
        <w:tabs>
          <w:tab w:val="clear" w:pos="993"/>
          <w:tab w:val="num" w:pos="720"/>
        </w:tabs>
        <w:ind w:left="720" w:right="-180" w:hanging="360"/>
      </w:pPr>
      <w:r>
        <w:rPr>
          <w:sz w:val="20"/>
          <w:szCs w:val="20"/>
        </w:rPr>
        <w:t>Integralność oprogramowania serwera.</w:t>
      </w:r>
      <w:r w:rsidR="00EC6E11">
        <w:rPr>
          <w:sz w:val="20"/>
          <w:szCs w:val="20"/>
        </w:rPr>
        <w:t xml:space="preserve"> </w:t>
      </w:r>
      <w:r>
        <w:rPr>
          <w:b w:val="0"/>
          <w:bCs w:val="0"/>
          <w:sz w:val="20"/>
          <w:szCs w:val="20"/>
        </w:rPr>
        <w:t>Licencjobiorca nie może rozdzielać oprogramowania serwera, aby używać go w więcej niż jednym środowisku systemu operacyjnego w ramach pojedynczej licencji, o ile nie jest to wyraźnie dozwolone.</w:t>
      </w:r>
      <w:r w:rsidR="00EC6E11">
        <w:rPr>
          <w:b w:val="0"/>
          <w:bCs w:val="0"/>
          <w:sz w:val="20"/>
          <w:szCs w:val="20"/>
        </w:rPr>
        <w:t xml:space="preserve"> </w:t>
      </w:r>
      <w:r>
        <w:rPr>
          <w:b w:val="0"/>
          <w:bCs w:val="0"/>
          <w:sz w:val="20"/>
          <w:szCs w:val="20"/>
        </w:rPr>
        <w:t>Powyższe postanowienie ma zastosowanie, nawet jeśli środowiska systemu operacyjnego występują w tym samym fizycznym systemie sprzętowym.</w:t>
      </w:r>
    </w:p>
    <w:p w:rsidR="003C2DE9" w:rsidRPr="00BA7B72" w:rsidRDefault="005F7C07" w:rsidP="00057836">
      <w:pPr>
        <w:pStyle w:val="Heading2"/>
        <w:tabs>
          <w:tab w:val="clear" w:pos="993"/>
          <w:tab w:val="num" w:pos="720"/>
        </w:tabs>
        <w:ind w:left="720" w:hanging="360"/>
      </w:pPr>
      <w:r>
        <w:rPr>
          <w:sz w:val="20"/>
          <w:szCs w:val="20"/>
        </w:rPr>
        <w:t>Funkcje dodatkowe.</w:t>
      </w:r>
      <w:r w:rsidR="00EC6E11">
        <w:rPr>
          <w:sz w:val="20"/>
          <w:szCs w:val="20"/>
        </w:rPr>
        <w:t xml:space="preserve"> </w:t>
      </w:r>
      <w:r>
        <w:rPr>
          <w:b w:val="0"/>
          <w:bCs w:val="0"/>
          <w:sz w:val="20"/>
          <w:szCs w:val="20"/>
        </w:rPr>
        <w:t>Microsoft może udostępnić dodatkowe funkcje dla oprogramowania.</w:t>
      </w:r>
      <w:r w:rsidR="00EC6E11">
        <w:rPr>
          <w:b w:val="0"/>
          <w:bCs w:val="0"/>
          <w:sz w:val="20"/>
          <w:szCs w:val="20"/>
        </w:rPr>
        <w:t xml:space="preserve"> </w:t>
      </w:r>
      <w:r>
        <w:rPr>
          <w:b w:val="0"/>
          <w:bCs w:val="0"/>
          <w:sz w:val="20"/>
          <w:szCs w:val="20"/>
        </w:rPr>
        <w:t>Mogą mieć do nich zastosowanie inne postanowienia licencyjne i opłaty.</w:t>
      </w:r>
    </w:p>
    <w:p w:rsidR="00666209" w:rsidRPr="007825B5" w:rsidRDefault="001E4979" w:rsidP="006468E6">
      <w:pPr>
        <w:pStyle w:val="Heading1"/>
        <w:keepNext/>
        <w:widowControl w:val="0"/>
        <w:ind w:left="360" w:hanging="360"/>
        <w:rPr>
          <w:sz w:val="20"/>
          <w:szCs w:val="20"/>
        </w:rPr>
      </w:pPr>
      <w:r w:rsidRPr="007825B5">
        <w:rPr>
          <w:sz w:val="20"/>
          <w:szCs w:val="20"/>
        </w:rPr>
        <w:t>DANE.</w:t>
      </w:r>
      <w:r w:rsidR="00EC6E11" w:rsidRPr="007825B5">
        <w:rPr>
          <w:sz w:val="20"/>
          <w:szCs w:val="20"/>
        </w:rPr>
        <w:t xml:space="preserve"> </w:t>
      </w:r>
      <w:r w:rsidRPr="007825B5">
        <w:rPr>
          <w:rFonts w:eastAsia="SimSun"/>
          <w:b w:val="0"/>
          <w:sz w:val="20"/>
          <w:szCs w:val="20"/>
        </w:rPr>
        <w:t>Oprogramowanie może gromadzić informacje o Licencjobiorcy i sposobie, w jaki używa on oprogramowania, a także przesyłać takie informacje do Microsoft. Microsoft może wykorzystywać te</w:t>
      </w:r>
      <w:r w:rsidR="00182600" w:rsidRPr="007825B5">
        <w:rPr>
          <w:rFonts w:eastAsia="SimSun"/>
          <w:b w:val="0"/>
          <w:sz w:val="20"/>
          <w:szCs w:val="20"/>
        </w:rPr>
        <w:t> </w:t>
      </w:r>
      <w:r w:rsidRPr="007825B5">
        <w:rPr>
          <w:rFonts w:eastAsia="SimSun"/>
          <w:b w:val="0"/>
          <w:sz w:val="20"/>
          <w:szCs w:val="20"/>
        </w:rPr>
        <w:t>informacje w celu świadczenia usług oraz w celu ulepszenia produktów i usług Microsoft. Licencjobiorca może zrezygnować z wielu scenariuszy (ale nie wszystkich), jak opisano w dokumentacji produktu.</w:t>
      </w:r>
      <w:r w:rsidR="00EC6E11" w:rsidRPr="007825B5">
        <w:rPr>
          <w:rFonts w:eastAsia="SimSun"/>
          <w:b w:val="0"/>
          <w:sz w:val="20"/>
          <w:szCs w:val="20"/>
        </w:rPr>
        <w:t xml:space="preserve"> </w:t>
      </w:r>
      <w:r w:rsidRPr="007825B5">
        <w:rPr>
          <w:b w:val="0"/>
          <w:sz w:val="20"/>
          <w:szCs w:val="20"/>
        </w:rPr>
        <w:t>Określone</w:t>
      </w:r>
      <w:r w:rsidRPr="007825B5">
        <w:rPr>
          <w:b w:val="0"/>
          <w:color w:val="000000"/>
          <w:sz w:val="20"/>
          <w:szCs w:val="20"/>
        </w:rPr>
        <w:t xml:space="preserve"> funkcje oprogramowania mogą umożliwiać Licencjobiorcy i Microsoft zbieranie danych od użytkowników aplikacji Licencjobiorcy</w:t>
      </w:r>
      <w:r w:rsidRPr="007825B5">
        <w:rPr>
          <w:rFonts w:eastAsia="SimSun"/>
          <w:b w:val="0"/>
          <w:sz w:val="20"/>
          <w:szCs w:val="20"/>
        </w:rPr>
        <w:t>. Jeśli Licencjobiorca używa tych</w:t>
      </w:r>
      <w:r w:rsidR="00182600" w:rsidRPr="007825B5">
        <w:rPr>
          <w:rFonts w:eastAsia="SimSun"/>
          <w:b w:val="0"/>
          <w:sz w:val="20"/>
          <w:szCs w:val="20"/>
        </w:rPr>
        <w:t> </w:t>
      </w:r>
      <w:r w:rsidRPr="007825B5">
        <w:rPr>
          <w:rFonts w:eastAsia="SimSun"/>
          <w:b w:val="0"/>
          <w:sz w:val="20"/>
          <w:szCs w:val="20"/>
        </w:rPr>
        <w:t xml:space="preserve">funkcji, musi przestrzegać przepisów prawa właściwego, w tym stosownie powiadamiać użytkowników aplikacji Licencjobiorcy o tych działaniach oraz udostępnić im kopię przyjętego przez Microsoft oświadczenia o ochronie prywatności. Oświadczenie to można znaleźć pod adresem </w:t>
      </w:r>
      <w:hyperlink r:id="rId9" w:history="1">
        <w:r w:rsidRPr="007825B5">
          <w:rPr>
            <w:rStyle w:val="Hyperlink"/>
            <w:b w:val="0"/>
            <w:sz w:val="20"/>
            <w:szCs w:val="20"/>
          </w:rPr>
          <w:t>https://go.microsoft.com/fwlink/?LinkId=398505</w:t>
        </w:r>
      </w:hyperlink>
      <w:r w:rsidRPr="007825B5">
        <w:rPr>
          <w:rFonts w:eastAsia="SimSun"/>
          <w:b w:val="0"/>
          <w:sz w:val="20"/>
          <w:szCs w:val="20"/>
        </w:rPr>
        <w:t xml:space="preserve">. Więcej informacji na temat zbierania i używania </w:t>
      </w:r>
      <w:r w:rsidRPr="007825B5">
        <w:rPr>
          <w:rFonts w:eastAsia="SimSun"/>
          <w:b w:val="0"/>
          <w:sz w:val="20"/>
          <w:szCs w:val="20"/>
        </w:rPr>
        <w:lastRenderedPageBreak/>
        <w:t>danych można znaleźć w dokumentacji pomocy i oświadczeniu Microsoft o ochronie prywatności</w:t>
      </w:r>
      <w:r w:rsidRPr="007825B5">
        <w:rPr>
          <w:b w:val="0"/>
          <w:bCs w:val="0"/>
          <w:sz w:val="20"/>
          <w:szCs w:val="20"/>
        </w:rPr>
        <w:t xml:space="preserve">. </w:t>
      </w:r>
      <w:r w:rsidRPr="007825B5">
        <w:rPr>
          <w:rFonts w:eastAsia="SimSun"/>
          <w:b w:val="0"/>
          <w:sz w:val="20"/>
          <w:szCs w:val="20"/>
        </w:rPr>
        <w:t>Korzystanie przez Licencjobiorcę z oprogramowania oznacza zgodę na takie działania.</w:t>
      </w:r>
    </w:p>
    <w:p w:rsidR="00BC387F" w:rsidRPr="00BA7B72" w:rsidRDefault="00BC387F" w:rsidP="00057836">
      <w:pPr>
        <w:pStyle w:val="Heading1"/>
      </w:pPr>
      <w:bookmarkStart w:id="4" w:name="_Ref324605389"/>
      <w:r>
        <w:rPr>
          <w:sz w:val="20"/>
          <w:szCs w:val="20"/>
        </w:rPr>
        <w:t>DODATKOWE PRODUKTY MICROSOFT:</w:t>
      </w:r>
      <w:bookmarkEnd w:id="4"/>
    </w:p>
    <w:p w:rsidR="00606AF2" w:rsidRPr="00BA7B72" w:rsidRDefault="00AA3347" w:rsidP="00553D0E">
      <w:pPr>
        <w:pStyle w:val="Heading2"/>
        <w:tabs>
          <w:tab w:val="clear" w:pos="993"/>
          <w:tab w:val="num" w:pos="720"/>
        </w:tabs>
        <w:ind w:left="720" w:hanging="360"/>
      </w:pPr>
      <w:r>
        <w:rPr>
          <w:sz w:val="20"/>
          <w:szCs w:val="20"/>
        </w:rPr>
        <w:t>Platformy Microsoft.</w:t>
      </w:r>
      <w:r>
        <w:rPr>
          <w:b w:val="0"/>
          <w:sz w:val="20"/>
          <w:szCs w:val="20"/>
        </w:rPr>
        <w:t xml:space="preserve"> Oprogramowanie może zawierać składniki pochodzące z Microsoft Windows; Microsoft Windows Server; Microsoft SQL Server; Microsoft Exchange; Microsoft Office i Microsoft SharePoint. Takie składniki podlegają odrębnym umowom i stosownym zasadom udzielania wsparcia w zakresie produktów, zgodnie z opisem w</w:t>
      </w:r>
      <w:r>
        <w:rPr>
          <w:b w:val="0"/>
          <w:color w:val="002060"/>
          <w:sz w:val="20"/>
          <w:szCs w:val="20"/>
        </w:rPr>
        <w:t> </w:t>
      </w:r>
      <w:r>
        <w:rPr>
          <w:b w:val="0"/>
          <w:sz w:val="20"/>
          <w:szCs w:val="20"/>
        </w:rPr>
        <w:t>folderze „Licencje” Microsoft dołączonym do oprogramowania, z zastrzeżeniem, że jeśli postanowienia licencyjne dotyczące tych składników umieszczono także bezpośrednio w katalogu instalacyjnym, to takie postanowienia mają wówczas charakter nadrzędny.</w:t>
      </w:r>
      <w:r w:rsidR="00EC6E11">
        <w:rPr>
          <w:b w:val="0"/>
          <w:sz w:val="20"/>
          <w:szCs w:val="20"/>
        </w:rPr>
        <w:t xml:space="preserve"> </w:t>
      </w:r>
    </w:p>
    <w:p w:rsidR="00F666CE" w:rsidRPr="00BA7B72" w:rsidRDefault="00F666CE" w:rsidP="00F666CE">
      <w:pPr>
        <w:pStyle w:val="Heading2"/>
        <w:tabs>
          <w:tab w:val="clear" w:pos="993"/>
          <w:tab w:val="num" w:pos="720"/>
        </w:tabs>
        <w:ind w:left="720" w:hanging="360"/>
      </w:pPr>
      <w:r>
        <w:rPr>
          <w:bCs w:val="0"/>
          <w:iCs/>
          <w:sz w:val="20"/>
          <w:szCs w:val="20"/>
        </w:rPr>
        <w:t>Postanowienia licencyjne dotyczące programu Microsoft SQL Server 2017 Standard Edition.</w:t>
      </w:r>
      <w:r w:rsidR="00EC6E11">
        <w:rPr>
          <w:b w:val="0"/>
          <w:bCs w:val="0"/>
          <w:iCs/>
          <w:sz w:val="20"/>
          <w:szCs w:val="20"/>
        </w:rPr>
        <w:t xml:space="preserve"> </w:t>
      </w:r>
      <w:r>
        <w:rPr>
          <w:b w:val="0"/>
          <w:bCs w:val="0"/>
          <w:iCs/>
          <w:sz w:val="20"/>
          <w:szCs w:val="20"/>
        </w:rPr>
        <w:t>Do oprogramowania jest dołączony program Microsoft SQL Server 2017 Standard Edition. Licencjobiorcy jest udzielana licencja na ten program na mocy stosownych postanowień licencyjnych zawartych w folderze „Licencje” w katalogu instalacyjnym oprogramowania, jak również na mocy następujących postanowień:</w:t>
      </w:r>
    </w:p>
    <w:p w:rsidR="00F666CE" w:rsidRPr="00BA7B72" w:rsidRDefault="00F666CE" w:rsidP="00F666CE">
      <w:pPr>
        <w:widowControl w:val="0"/>
        <w:numPr>
          <w:ilvl w:val="0"/>
          <w:numId w:val="4"/>
        </w:numPr>
        <w:tabs>
          <w:tab w:val="clear" w:pos="1437"/>
          <w:tab w:val="num" w:pos="1080"/>
        </w:tabs>
        <w:ind w:left="1080" w:hanging="360"/>
      </w:pPr>
      <w:r>
        <w:rPr>
          <w:rFonts w:eastAsia="SimSun"/>
          <w:sz w:val="20"/>
          <w:szCs w:val="20"/>
        </w:rPr>
        <w:t>W danym momencie Licencjobiorca może uruchomić jedno wystąpienie tego programu SQL Server w celu obsługi oprogramowania w fizycznym albo wirtualnym środowisku systemu operacyjnego. Aby używać tego programu SQL z oprogramowaniem, Licencjobiorca nie potrzebuje licencji dostępowych CAL na program SQL Server. Licencjobiorca może utworzyć i przechowywać jedną kopię programu SQL Server 2017 Standard Edition jako kopię zapasową wyłącznie w celu skorzystania z prawa do uruchomienia wystąpienia SQL Server 2017 Edition zgodnie z niniejszymi postanowieniami.</w:t>
      </w:r>
    </w:p>
    <w:p w:rsidR="003C2DE9" w:rsidRPr="00BA7B72" w:rsidRDefault="005F7C07" w:rsidP="009C1CC1">
      <w:pPr>
        <w:pStyle w:val="Heading1"/>
      </w:pPr>
      <w:r>
        <w:rPr>
          <w:sz w:val="20"/>
          <w:szCs w:val="20"/>
        </w:rPr>
        <w:t>ZAKRES LICENCJI.</w:t>
      </w:r>
      <w:r w:rsidR="00EC6E11">
        <w:rPr>
          <w:sz w:val="20"/>
          <w:szCs w:val="20"/>
        </w:rPr>
        <w:t xml:space="preserve"> </w:t>
      </w:r>
      <w:r>
        <w:rPr>
          <w:b w:val="0"/>
          <w:bCs w:val="0"/>
          <w:sz w:val="20"/>
          <w:szCs w:val="20"/>
        </w:rPr>
        <w:t>Oprogramowanie jest licencjonowane, a nie sprzedawane. Na mocy niniejszej umowy Licencjobiorca uzyskuje tylko niektóre prawa do używania oprogramowania.</w:t>
      </w:r>
      <w:r w:rsidR="00EC6E11">
        <w:rPr>
          <w:b w:val="0"/>
          <w:bCs w:val="0"/>
          <w:sz w:val="20"/>
          <w:szCs w:val="20"/>
        </w:rPr>
        <w:t xml:space="preserve"> </w:t>
      </w:r>
      <w:r>
        <w:rPr>
          <w:b w:val="0"/>
          <w:bCs w:val="0"/>
          <w:sz w:val="20"/>
          <w:szCs w:val="20"/>
        </w:rPr>
        <w:t>Microsoft zastrzega sobie wszystkie pozostałe prawa.</w:t>
      </w:r>
      <w:r w:rsidR="00EC6E11">
        <w:rPr>
          <w:b w:val="0"/>
          <w:bCs w:val="0"/>
          <w:sz w:val="20"/>
          <w:szCs w:val="20"/>
        </w:rPr>
        <w:t xml:space="preserve"> </w:t>
      </w:r>
      <w:r>
        <w:rPr>
          <w:b w:val="0"/>
          <w:bCs w:val="0"/>
          <w:sz w:val="20"/>
          <w:szCs w:val="20"/>
        </w:rPr>
        <w:t>Licencjobiorca może korzystać z oprogramowania tylko w sposób wyraźnie dozwolony w niniejszej umowie. Nie dotyczy to sytuacji, w których pomimo niniejszego ograniczenia na mocy prawa właściwego przysługują mu dodatkowe uprawnienia.</w:t>
      </w:r>
      <w:r w:rsidR="00EC6E11">
        <w:rPr>
          <w:b w:val="0"/>
          <w:bCs w:val="0"/>
          <w:sz w:val="20"/>
          <w:szCs w:val="20"/>
        </w:rPr>
        <w:t xml:space="preserve"> </w:t>
      </w:r>
      <w:r>
        <w:rPr>
          <w:b w:val="0"/>
          <w:bCs w:val="0"/>
          <w:sz w:val="20"/>
          <w:szCs w:val="20"/>
        </w:rPr>
        <w:t>W takich przypadkach Licencjobiorca musi przestrzegać wszelkich ograniczeń technicznych oprogramowania zapewniających, że z oprogramowania będzie można korzystać wyłącznie w określony sposób.</w:t>
      </w:r>
      <w:r w:rsidR="00EC6E11">
        <w:rPr>
          <w:b w:val="0"/>
          <w:bCs w:val="0"/>
          <w:sz w:val="20"/>
          <w:szCs w:val="20"/>
        </w:rPr>
        <w:t xml:space="preserve"> </w:t>
      </w:r>
      <w:r>
        <w:rPr>
          <w:b w:val="0"/>
          <w:bCs w:val="0"/>
          <w:sz w:val="20"/>
          <w:szCs w:val="20"/>
        </w:rPr>
        <w:t>Licencjobiorca nie może:</w:t>
      </w:r>
    </w:p>
    <w:p w:rsidR="003C2DE9" w:rsidRPr="00BA7B72" w:rsidRDefault="005F7C07" w:rsidP="009C1CC1">
      <w:pPr>
        <w:pStyle w:val="Bullet2"/>
      </w:pPr>
      <w:r>
        <w:rPr>
          <w:sz w:val="20"/>
          <w:szCs w:val="20"/>
        </w:rPr>
        <w:t>omijać żadnych ograniczeń technicznych oprogramowania;</w:t>
      </w:r>
    </w:p>
    <w:p w:rsidR="003C2DE9" w:rsidRPr="00BA7B72" w:rsidRDefault="005476D7" w:rsidP="005476D7">
      <w:pPr>
        <w:pStyle w:val="Bullet2"/>
      </w:pPr>
      <w:r>
        <w:rPr>
          <w:sz w:val="20"/>
          <w:szCs w:val="20"/>
        </w:rPr>
        <w:t>odtwarzać, dekompilować ani dezasemblować oprogramowania, ani w inny sposób podejmować prób pozyskania kodu źródłowego z oprogramowania, chyba że w przypadku i tylko w takim zakresie, w jakim jest to wymagane na mocy określonych przez osoby trzecie postanowień licencyjnych mających zastosowanie do używania określonych składników podlegających licencji open source, które mogą być dołączone do oprogramowania;</w:t>
      </w:r>
    </w:p>
    <w:p w:rsidR="00E36D36" w:rsidRPr="00BA7B72" w:rsidRDefault="00E36D36" w:rsidP="009C1CC1">
      <w:pPr>
        <w:pStyle w:val="Bullet2"/>
      </w:pPr>
      <w:r>
        <w:rPr>
          <w:rFonts w:eastAsia="SimSun"/>
          <w:sz w:val="20"/>
          <w:szCs w:val="20"/>
        </w:rPr>
        <w:t>usuwać, minimalizować, blokować ani modyfikować żadnych powiadomień Microsoft ani dostawców Microsoft umieszczonych w oprogramowaniu;</w:t>
      </w:r>
    </w:p>
    <w:p w:rsidR="005476D7" w:rsidRPr="00BA7B72" w:rsidRDefault="005476D7" w:rsidP="009C1CC1">
      <w:pPr>
        <w:pStyle w:val="Bullet2"/>
      </w:pPr>
      <w:r>
        <w:rPr>
          <w:sz w:val="20"/>
          <w:szCs w:val="20"/>
        </w:rPr>
        <w:t>używać oprogramowania w sposób niezgodny z prawem lub</w:t>
      </w:r>
    </w:p>
    <w:p w:rsidR="003C2DE9" w:rsidRPr="007A049C" w:rsidRDefault="008C2558" w:rsidP="006468E6">
      <w:pPr>
        <w:pStyle w:val="Bullet2"/>
        <w:rPr>
          <w:sz w:val="20"/>
          <w:szCs w:val="20"/>
        </w:rPr>
      </w:pPr>
      <w:r w:rsidRPr="007A049C">
        <w:rPr>
          <w:sz w:val="20"/>
          <w:szCs w:val="20"/>
        </w:rPr>
        <w:t>udostępniać, publikować, pożyczać ani wydzierżawiać oprogramowania, dostarczać go w postaci samodzielnego hostowanego rozwiązania w celu używania go przez inne osoby.</w:t>
      </w:r>
    </w:p>
    <w:p w:rsidR="003C2DE9" w:rsidRPr="00BA7B72" w:rsidRDefault="005F7C07" w:rsidP="003E1822">
      <w:pPr>
        <w:pStyle w:val="Heading1"/>
        <w:widowControl w:val="0"/>
      </w:pPr>
      <w:r>
        <w:rPr>
          <w:sz w:val="20"/>
          <w:szCs w:val="20"/>
        </w:rPr>
        <w:t>KOPIA ZAPASOWA.</w:t>
      </w:r>
      <w:r w:rsidR="00EC6E11">
        <w:rPr>
          <w:sz w:val="20"/>
          <w:szCs w:val="20"/>
        </w:rPr>
        <w:t xml:space="preserve"> </w:t>
      </w:r>
      <w:r>
        <w:rPr>
          <w:b w:val="0"/>
          <w:bCs w:val="0"/>
          <w:sz w:val="20"/>
          <w:szCs w:val="20"/>
        </w:rPr>
        <w:t>Licencjobiorca może sporządzić jedną kopię zapasową oprogramowania w celu jego ponownej instalacji.</w:t>
      </w:r>
    </w:p>
    <w:p w:rsidR="00D27198" w:rsidRPr="00BA7B72" w:rsidRDefault="00D27198" w:rsidP="00D27198">
      <w:pPr>
        <w:pStyle w:val="Heading1"/>
        <w:widowControl w:val="0"/>
      </w:pPr>
      <w:r>
        <w:rPr>
          <w:rFonts w:eastAsia="SimSun"/>
          <w:sz w:val="20"/>
          <w:szCs w:val="20"/>
        </w:rPr>
        <w:t xml:space="preserve">OPROGRAMOWANIE NIE DO ODSPRZEDAŻY. </w:t>
      </w:r>
      <w:r>
        <w:rPr>
          <w:rFonts w:eastAsia="SimSun"/>
          <w:b w:val="0"/>
          <w:bCs w:val="0"/>
          <w:sz w:val="20"/>
          <w:szCs w:val="20"/>
        </w:rPr>
        <w:t>Oprogramowanie oznaczone jako „NDO” („NFR”) lub „Nie do odsprzedaży” („Not for Resale”) nie podlega dalszej sprzedaży.</w:t>
      </w:r>
    </w:p>
    <w:p w:rsidR="00D27198" w:rsidRPr="00BA7B72" w:rsidRDefault="00AA5563" w:rsidP="00D27198">
      <w:pPr>
        <w:pStyle w:val="Heading1"/>
        <w:widowControl w:val="0"/>
      </w:pPr>
      <w:r>
        <w:rPr>
          <w:rFonts w:eastAsia="SimSun"/>
          <w:sz w:val="20"/>
          <w:szCs w:val="20"/>
        </w:rPr>
        <w:t>PRAWO DO KORZYSTANIA Z INNYCH, W TYM STARSZYCH, WERSJI.</w:t>
      </w:r>
      <w:r>
        <w:rPr>
          <w:sz w:val="20"/>
          <w:szCs w:val="20"/>
        </w:rPr>
        <w:t> </w:t>
      </w:r>
      <w:r>
        <w:rPr>
          <w:b w:val="0"/>
          <w:sz w:val="20"/>
          <w:szCs w:val="20"/>
        </w:rPr>
        <w:t xml:space="preserve">Licencjobiorca może korzystać z oprogramowania oraz jego wcześniejszych wersji na dowolnym urządzeniu. Licencjobiorca </w:t>
      </w:r>
      <w:r>
        <w:rPr>
          <w:b w:val="0"/>
          <w:sz w:val="20"/>
          <w:szCs w:val="20"/>
        </w:rPr>
        <w:lastRenderedPageBreak/>
        <w:t>może utworzyć, przechowywać, instalować, uruchamiać zamiast licencjonowanej wersji, kopię lub wystąpienie wcześniejszej wersji, innej dozwolonej wersji językowej lub starszej wersji lub uzyskiwać dostęp do takiej kopii lub takiego wystąpienia.</w:t>
      </w:r>
      <w:r>
        <w:rPr>
          <w:rFonts w:eastAsia="SimSun"/>
          <w:b w:val="0"/>
          <w:bCs w:val="0"/>
          <w:sz w:val="20"/>
          <w:szCs w:val="20"/>
        </w:rPr>
        <w:t xml:space="preserve"> </w:t>
      </w:r>
    </w:p>
    <w:p w:rsidR="00D27198" w:rsidRPr="00BA7B72" w:rsidRDefault="00D27198" w:rsidP="00D27198">
      <w:pPr>
        <w:pStyle w:val="Heading1"/>
      </w:pPr>
      <w:r>
        <w:rPr>
          <w:rFonts w:eastAsia="SimSun"/>
          <w:sz w:val="20"/>
          <w:szCs w:val="20"/>
        </w:rPr>
        <w:t xml:space="preserve">DOWÓD POSIADANIA LICENCJI. </w:t>
      </w:r>
      <w:r>
        <w:rPr>
          <w:rFonts w:eastAsia="SimSun"/>
          <w:b w:val="0"/>
          <w:bCs w:val="0"/>
          <w:sz w:val="20"/>
          <w:szCs w:val="20"/>
        </w:rPr>
        <w:t>Jeśli Licencjobiorca nabył oprogramowanie na płycie lub innym</w:t>
      </w:r>
      <w:r w:rsidR="00036E2E">
        <w:rPr>
          <w:rFonts w:eastAsia="SimSun"/>
          <w:b w:val="0"/>
          <w:bCs w:val="0"/>
          <w:sz w:val="20"/>
          <w:szCs w:val="20"/>
        </w:rPr>
        <w:t> </w:t>
      </w:r>
      <w:r>
        <w:rPr>
          <w:rFonts w:eastAsia="SimSun"/>
          <w:b w:val="0"/>
          <w:bCs w:val="0"/>
          <w:sz w:val="20"/>
          <w:szCs w:val="20"/>
        </w:rPr>
        <w:t>nośniku, dowodem posiadania licencji na takie oprogramowanie jest etykieta certyfikatu autentyczności Microsoft oraz dowód zakupu. Jeśli Licencjobiorca nabył kopię oprogramowania w trybie online, dowodem posiadania licencji na takie oprogramowanie jest dowód zakupu, a także możliwość dostępu do usługi oprogramowania za pośrednictwem konta Microsoft Licencjobiorcy.</w:t>
      </w:r>
      <w:r w:rsidR="00EC6E11">
        <w:rPr>
          <w:rFonts w:eastAsia="SimSun"/>
          <w:b w:val="0"/>
          <w:bCs w:val="0"/>
          <w:sz w:val="20"/>
          <w:szCs w:val="20"/>
        </w:rPr>
        <w:t xml:space="preserve"> </w:t>
      </w:r>
      <w:r>
        <w:rPr>
          <w:rFonts w:eastAsia="SimSun"/>
          <w:b w:val="0"/>
          <w:bCs w:val="0"/>
          <w:sz w:val="20"/>
          <w:szCs w:val="20"/>
        </w:rPr>
        <w:t xml:space="preserve">Informacje dotyczące określania autentyczności oprogramowania Microsoft można uzyskać w witrynie </w:t>
      </w:r>
      <w:hyperlink r:id="rId10" w:history="1">
        <w:r>
          <w:rPr>
            <w:rStyle w:val="Hyperlink"/>
            <w:rFonts w:eastAsia="SimSun" w:cs="Tahoma"/>
            <w:b w:val="0"/>
            <w:bCs w:val="0"/>
            <w:sz w:val="20"/>
            <w:szCs w:val="20"/>
          </w:rPr>
          <w:t>www.howtotell.com</w:t>
        </w:r>
      </w:hyperlink>
      <w:r>
        <w:rPr>
          <w:rFonts w:eastAsia="SimSun"/>
          <w:b w:val="0"/>
          <w:bCs w:val="0"/>
          <w:sz w:val="20"/>
          <w:szCs w:val="20"/>
        </w:rPr>
        <w:t>.</w:t>
      </w:r>
    </w:p>
    <w:p w:rsidR="00A31C77" w:rsidRPr="00BA7B72" w:rsidRDefault="00A31C77" w:rsidP="00404F3D">
      <w:pPr>
        <w:pStyle w:val="Heading1Unbold"/>
        <w:spacing w:before="120" w:after="120"/>
        <w:ind w:left="360" w:hanging="360"/>
      </w:pPr>
      <w:r>
        <w:rPr>
          <w:b/>
          <w:bCs/>
          <w:sz w:val="20"/>
          <w:szCs w:val="20"/>
        </w:rPr>
        <w:t xml:space="preserve">PRZEKAZANIE OSOBIE TRZECIEJ. </w:t>
      </w:r>
      <w:r>
        <w:rPr>
          <w:rFonts w:eastAsia="SimSun"/>
          <w:sz w:val="20"/>
          <w:szCs w:val="20"/>
        </w:rPr>
        <w:t>Właściwy Licencjobiorca oprogramowania może przekazać takie oprogramowanie oraz przenieść prawa wynikające z niniejszej umowy licencyjnej bezpośrednio na rzecz osoby trzeciej. Przed otrzymaniem oprogramowania osoba ta musi wyrazić zgodę na to, że postanowienia niniejszej umowy mają zastosowanie w przypadku przekazywania oprogramowania i korzystania z niego. Przekazanie musi obejmować oprogramowanie oraz (w stosownych przypadkach) etykietę Dowodu Posiadania Licencji. Strona dokonująca przekazania jest zobowiązana do odinstalowania wszystkich kopii oprogramowania po przekazaniu ich z urządzenia. Strona dokonująca przekazania może zachować kopie oprogramowania, o ile ma na nie inne stosowne licencje</w:t>
      </w:r>
      <w:r>
        <w:rPr>
          <w:bCs/>
          <w:sz w:val="20"/>
          <w:szCs w:val="20"/>
        </w:rPr>
        <w:t>.</w:t>
      </w:r>
    </w:p>
    <w:p w:rsidR="00A31C77" w:rsidRPr="00BA7B72" w:rsidRDefault="00A31C77" w:rsidP="00057836">
      <w:pPr>
        <w:pStyle w:val="Heading1Unbold"/>
        <w:spacing w:before="120" w:after="120"/>
        <w:ind w:left="360" w:hanging="360"/>
      </w:pPr>
      <w:r>
        <w:rPr>
          <w:b/>
          <w:bCs/>
          <w:sz w:val="20"/>
          <w:szCs w:val="20"/>
        </w:rPr>
        <w:t xml:space="preserve">OGRANICZENIA EKSPORTOWE. </w:t>
      </w:r>
      <w:r>
        <w:rPr>
          <w:bCs/>
          <w:sz w:val="20"/>
          <w:szCs w:val="20"/>
        </w:rPr>
        <w:t>Licencjobiorca musi przestrzegać wszelkich krajowych</w:t>
      </w:r>
      <w:r>
        <w:rPr>
          <w:rFonts w:eastAsia="SimSun"/>
          <w:sz w:val="20"/>
          <w:szCs w:val="20"/>
        </w:rPr>
        <w:t xml:space="preserve"> i międzynarodowych przepisów eksportowych mających zastosowanie do oprogramowania, które obejmują ograniczenia w zakresie końcowego użytkownika, końcowego przeznaczenia i kraju przeznaczenia. </w:t>
      </w:r>
      <w:r>
        <w:rPr>
          <w:bCs/>
          <w:sz w:val="20"/>
          <w:szCs w:val="20"/>
        </w:rPr>
        <w:t>Więcej informacji na temat ograniczeń eksportowych można znaleźć na stronie</w:t>
      </w:r>
      <w:r w:rsidR="00EC6E11">
        <w:rPr>
          <w:bCs/>
          <w:sz w:val="20"/>
          <w:szCs w:val="20"/>
        </w:rPr>
        <w:t xml:space="preserve"> </w:t>
      </w:r>
      <w:hyperlink r:id="rId11" w:history="1">
        <w:r>
          <w:rPr>
            <w:rStyle w:val="Hyperlink"/>
            <w:rFonts w:eastAsia="SimSun"/>
            <w:sz w:val="20"/>
            <w:szCs w:val="20"/>
          </w:rPr>
          <w:t>www.microsoft.com/exporting</w:t>
        </w:r>
      </w:hyperlink>
      <w:r>
        <w:rPr>
          <w:sz w:val="20"/>
          <w:szCs w:val="20"/>
        </w:rPr>
        <w:t>.</w:t>
      </w:r>
    </w:p>
    <w:p w:rsidR="00ED016B" w:rsidRPr="00A30CC1" w:rsidRDefault="005F7C07" w:rsidP="00057836">
      <w:pPr>
        <w:pStyle w:val="Heading1"/>
        <w:widowControl w:val="0"/>
        <w:ind w:left="360" w:hanging="360"/>
        <w:rPr>
          <w:sz w:val="20"/>
          <w:szCs w:val="20"/>
        </w:rPr>
      </w:pPr>
      <w:r w:rsidRPr="00A30CC1">
        <w:rPr>
          <w:sz w:val="20"/>
          <w:szCs w:val="20"/>
        </w:rPr>
        <w:t>USŁUGI POMOCY TECHNICZNEJ</w:t>
      </w:r>
      <w:r w:rsidRPr="00687827">
        <w:rPr>
          <w:sz w:val="20"/>
          <w:szCs w:val="20"/>
        </w:rPr>
        <w:t>.</w:t>
      </w:r>
      <w:r w:rsidRPr="00A30CC1">
        <w:rPr>
          <w:b w:val="0"/>
          <w:bCs w:val="0"/>
          <w:sz w:val="20"/>
          <w:szCs w:val="20"/>
        </w:rPr>
        <w:t xml:space="preserve"> </w:t>
      </w:r>
      <w:r w:rsidRPr="00A30CC1">
        <w:rPr>
          <w:b w:val="0"/>
          <w:sz w:val="20"/>
          <w:szCs w:val="20"/>
        </w:rPr>
        <w:t xml:space="preserve">Microsoft świadczy usługi pomocy technicznej do oprogramowania zgodnie z opisem znajdującym się pod adresem </w:t>
      </w:r>
      <w:hyperlink r:id="rId12" w:history="1">
        <w:r w:rsidRPr="00A30CC1">
          <w:rPr>
            <w:rStyle w:val="Hyperlink"/>
            <w:b w:val="0"/>
            <w:sz w:val="20"/>
            <w:szCs w:val="20"/>
          </w:rPr>
          <w:t>https://support.microsoft.com</w:t>
        </w:r>
      </w:hyperlink>
      <w:r w:rsidRPr="00A30CC1">
        <w:rPr>
          <w:b w:val="0"/>
          <w:sz w:val="20"/>
          <w:szCs w:val="20"/>
        </w:rPr>
        <w:t>.</w:t>
      </w:r>
    </w:p>
    <w:p w:rsidR="00A31C77" w:rsidRPr="00BA7B72" w:rsidRDefault="005F7C07" w:rsidP="00A31C77">
      <w:pPr>
        <w:pStyle w:val="Heading1Unbold"/>
      </w:pPr>
      <w:r>
        <w:rPr>
          <w:b/>
          <w:bCs/>
          <w:sz w:val="20"/>
          <w:szCs w:val="20"/>
        </w:rPr>
        <w:t xml:space="preserve">CAŁOŚĆ UMOWY. </w:t>
      </w:r>
      <w:r>
        <w:rPr>
          <w:rFonts w:eastAsia="SimSun"/>
          <w:sz w:val="20"/>
          <w:szCs w:val="20"/>
        </w:rPr>
        <w:t>Niniejsza umowa (łącznie z zamieszczoną poniżej gwarancją) wraz ze wszelkimi postanowieniami dotyczącymi uzupełnień, aktualizacji, usług internetowych i usług pomocy technicznej, z których korzysta Licencjobiorca, stanowi całość umowy dotyczącej oprogramowania i usług pomocy technicznej</w:t>
      </w:r>
      <w:r>
        <w:rPr>
          <w:bCs/>
          <w:sz w:val="20"/>
          <w:szCs w:val="20"/>
        </w:rPr>
        <w:t>.</w:t>
      </w:r>
    </w:p>
    <w:p w:rsidR="002061BD" w:rsidRPr="00BA7B72" w:rsidRDefault="002061BD" w:rsidP="002061BD">
      <w:pPr>
        <w:pStyle w:val="Heading1Unbold"/>
        <w:numPr>
          <w:ilvl w:val="0"/>
          <w:numId w:val="0"/>
        </w:numPr>
        <w:ind w:left="357"/>
      </w:pPr>
    </w:p>
    <w:p w:rsidR="00A31C77" w:rsidRPr="00BA7B72" w:rsidRDefault="005F7C07">
      <w:pPr>
        <w:pStyle w:val="Heading1Unbold"/>
      </w:pPr>
      <w:r>
        <w:rPr>
          <w:b/>
          <w:bCs/>
          <w:sz w:val="20"/>
          <w:szCs w:val="20"/>
        </w:rPr>
        <w:t>PRAWO WŁAŚCIWE</w:t>
      </w:r>
      <w:r>
        <w:rPr>
          <w:sz w:val="20"/>
          <w:szCs w:val="20"/>
        </w:rPr>
        <w:t xml:space="preserve"> </w:t>
      </w:r>
      <w:r>
        <w:rPr>
          <w:rFonts w:eastAsia="SimSun"/>
          <w:sz w:val="20"/>
          <w:szCs w:val="20"/>
        </w:rPr>
        <w:t>Jeśli Licencjobiorca nabył oprogramowanie w Stanach Zjednoczonych, prawem właściwym dla wykładni postanowień niniejszej umowy i rozpatrywania roszczeń z tytułu ich naruszenia jest prawo stanu Waszyngton, a do wszelkich innych roszczeń mają zastosowanie prawa stanu, w którym mieszka Licencjobiorca.</w:t>
      </w:r>
      <w:r w:rsidR="00EC6E11">
        <w:rPr>
          <w:rFonts w:eastAsia="SimSun"/>
          <w:sz w:val="20"/>
          <w:szCs w:val="20"/>
        </w:rPr>
        <w:t xml:space="preserve"> </w:t>
      </w:r>
      <w:r>
        <w:rPr>
          <w:rFonts w:eastAsia="SimSun"/>
          <w:sz w:val="20"/>
          <w:szCs w:val="20"/>
        </w:rPr>
        <w:t>Jeśli Licencjobiorca nabył oprogramowanie w innym kraju, prawem właściwym dla wykładni niniejszej umowy jest prawo obowiązujące w tym kraju</w:t>
      </w:r>
      <w:r>
        <w:rPr>
          <w:sz w:val="20"/>
          <w:szCs w:val="20"/>
        </w:rPr>
        <w:t>.</w:t>
      </w:r>
    </w:p>
    <w:p w:rsidR="006E26BF" w:rsidRPr="00BA7B72" w:rsidRDefault="006E26BF" w:rsidP="006E26BF">
      <w:pPr>
        <w:pStyle w:val="Heading1"/>
        <w:tabs>
          <w:tab w:val="clear" w:pos="360"/>
          <w:tab w:val="num" w:pos="540"/>
        </w:tabs>
        <w:ind w:left="360" w:hanging="360"/>
      </w:pPr>
      <w:r>
        <w:rPr>
          <w:sz w:val="20"/>
          <w:szCs w:val="20"/>
        </w:rPr>
        <w:t xml:space="preserve">PRAWA KONSUMENTA — RÓŻNICE REGIONALNE. </w:t>
      </w:r>
      <w:r>
        <w:rPr>
          <w:b w:val="0"/>
          <w:sz w:val="20"/>
          <w:szCs w:val="20"/>
        </w:rPr>
        <w:t>W niniejszej umowie zostały przedstawione niektóre z uprawnień przysługujących stronom. Licencjobiorcy mogą przysługiwać inne uprawnienia, w tym uprawnienia konsumenta, na mocy przepisów prawa obowiązujących w stanie lub kraju Licencjobiorcy. Niezależnie od charakteru relacji, jakie Licencjobiorca utrzymuje z Microsoft, Licencjobiorcy mogą też przysługiwać określone uprawnienia względem strony, od której nabył oprogramowanie. Niniejsza umowa nie zmienia tych innych uprawnień, jeśli przepisy prawa przysługujące Licencjobiorcy na mocy ustawodawstwa stanowego lub krajowego nie zezwalają na takie zmiany. Na przykład, jeśli Licencjobiorca nabył oprogramowanie w jednym z poniższych regionów lub w przypadku obowiązywania obowiązkowego prawa krajowego, wtedy Licencjobiorca stosuje się do poniższych postanowień:</w:t>
      </w:r>
    </w:p>
    <w:p w:rsidR="006E26BF" w:rsidRPr="00BA7B72" w:rsidRDefault="006E26BF" w:rsidP="006E26BF">
      <w:pPr>
        <w:pStyle w:val="Heading2"/>
        <w:numPr>
          <w:ilvl w:val="0"/>
          <w:numId w:val="30"/>
        </w:numPr>
        <w:tabs>
          <w:tab w:val="left" w:pos="720"/>
        </w:tabs>
      </w:pPr>
      <w:r>
        <w:rPr>
          <w:sz w:val="20"/>
          <w:szCs w:val="20"/>
        </w:rPr>
        <w:t xml:space="preserve">Australia. </w:t>
      </w:r>
      <w:r>
        <w:rPr>
          <w:b w:val="0"/>
          <w:sz w:val="20"/>
          <w:szCs w:val="20"/>
        </w:rPr>
        <w:t xml:space="preserve">Odniesienia do „ograniczonej rękojmi” stanowią odniesienia do wyraźnie określonej rękojmi udzielanej przez Microsoft, producenta lub osobę bądź firmę instalującą oprogramowanie. Gwarancja ta uzupełnia inne prawa i uprawnienia przysługujące Licencjobiorcy na mocy prawa, </w:t>
      </w:r>
      <w:r>
        <w:rPr>
          <w:b w:val="0"/>
          <w:sz w:val="20"/>
          <w:szCs w:val="20"/>
        </w:rPr>
        <w:lastRenderedPageBreak/>
        <w:t>łącznie z jego prawami i uprawnieniami wynikającymi z australijskiej ustawy o ochronie konsumentów.</w:t>
      </w:r>
    </w:p>
    <w:p w:rsidR="000F2756" w:rsidRPr="00BA7B72" w:rsidRDefault="000F2756" w:rsidP="000F2756">
      <w:pPr>
        <w:pStyle w:val="Heading2"/>
        <w:numPr>
          <w:ilvl w:val="0"/>
          <w:numId w:val="0"/>
        </w:numPr>
        <w:tabs>
          <w:tab w:val="left" w:pos="720"/>
        </w:tabs>
        <w:ind w:left="717"/>
      </w:pPr>
      <w:r>
        <w:rPr>
          <w:b w:val="0"/>
          <w:sz w:val="20"/>
          <w:szCs w:val="20"/>
        </w:rPr>
        <w:t>W niniejszej sekcji określenie „towary” dotyczy oprogramowania, na które Microsoft, producent lub osoba bądź firma instalująca oprogramowanie udziela wyraźnie określonej gwarancji. Towary Microsoft są dostarczane z gwarancjami, które nie podlegają wyłączeniu na mocy australijskiej ustawy o ochronie konsumentów. Licencjobiorca ma prawo do wymiany towarów lub zwrotu kosztów w przypadku poważnej awarii oraz odszkodowania z tytułu wszelkich innych strat lub szkód, które są odpowiednio możliwe do przewidzenia. Licencjobiorca ma również prawo do skorzystania z naprawy lub wymiany towarów, jeżeli jakość towarów nie jest akceptowalna, a awaria nie jest równoznaczna z poważną awarią.</w:t>
      </w:r>
    </w:p>
    <w:p w:rsidR="006E26BF" w:rsidRPr="00BA7B72" w:rsidRDefault="006E26BF" w:rsidP="006E26BF">
      <w:pPr>
        <w:pStyle w:val="Heading2"/>
        <w:numPr>
          <w:ilvl w:val="0"/>
          <w:numId w:val="30"/>
        </w:numPr>
        <w:tabs>
          <w:tab w:val="left" w:pos="720"/>
        </w:tabs>
      </w:pPr>
      <w:r>
        <w:rPr>
          <w:sz w:val="20"/>
          <w:szCs w:val="20"/>
        </w:rPr>
        <w:t xml:space="preserve">Kanada. </w:t>
      </w:r>
      <w:r>
        <w:rPr>
          <w:b w:val="0"/>
          <w:sz w:val="20"/>
          <w:szCs w:val="20"/>
        </w:rPr>
        <w:t>Jeśli Licencjobiorca nabył oprogramowanie w Kanadzie i nie chce już otrzymywać aktualizacji, może wyłączyć funkcję automatycznej aktualizacji, odłączyć swoje urządzenie od Internetu (w takim jednak przypadku po ponownym podłączeniu urządzenia do Internetu oprogramowanie wznowi wyszukiwanie i instalowanie aktualizacji) albo odinstalować oprogramowanie. Ewentualna dokumentacja produktu może także zawierać informacje na temat sposobu wyłączania funkcji aktualizacji w danym urządzeniu Licencjobiorcy lub w oprogramowaniu.</w:t>
      </w:r>
    </w:p>
    <w:p w:rsidR="006E26BF" w:rsidRPr="00BA7B72" w:rsidRDefault="006E26BF" w:rsidP="006E26BF">
      <w:pPr>
        <w:pStyle w:val="Heading2"/>
        <w:numPr>
          <w:ilvl w:val="0"/>
          <w:numId w:val="30"/>
        </w:numPr>
        <w:tabs>
          <w:tab w:val="left" w:pos="720"/>
        </w:tabs>
      </w:pPr>
      <w:r>
        <w:rPr>
          <w:sz w:val="20"/>
          <w:szCs w:val="20"/>
        </w:rPr>
        <w:t>Niemcy i Austria</w:t>
      </w:r>
      <w:r w:rsidRPr="002663F8">
        <w:rPr>
          <w:bCs w:val="0"/>
          <w:sz w:val="20"/>
          <w:szCs w:val="20"/>
        </w:rPr>
        <w:t>.</w:t>
      </w:r>
    </w:p>
    <w:p w:rsidR="006E26BF" w:rsidRPr="00BA7B72" w:rsidRDefault="006E26BF" w:rsidP="006E26BF">
      <w:pPr>
        <w:ind w:left="717"/>
      </w:pPr>
      <w:r>
        <w:rPr>
          <w:b/>
          <w:sz w:val="20"/>
          <w:szCs w:val="20"/>
        </w:rPr>
        <w:t>(i)</w:t>
      </w:r>
      <w:r>
        <w:rPr>
          <w:sz w:val="20"/>
          <w:szCs w:val="20"/>
        </w:rPr>
        <w:tab/>
      </w:r>
      <w:r>
        <w:rPr>
          <w:b/>
          <w:sz w:val="20"/>
          <w:szCs w:val="20"/>
        </w:rPr>
        <w:t>Rękojmie i gwarancje</w:t>
      </w:r>
      <w:r w:rsidRPr="00D817BE">
        <w:rPr>
          <w:b/>
          <w:bCs/>
          <w:sz w:val="20"/>
          <w:szCs w:val="20"/>
        </w:rPr>
        <w:t>.</w:t>
      </w:r>
      <w:r>
        <w:rPr>
          <w:sz w:val="20"/>
          <w:szCs w:val="20"/>
        </w:rPr>
        <w:t xml:space="preserve"> Oprogramowanie objęte właściwą licencją będzie działać zasadniczo zgodnie z opisem znajdującym się we wszelkich materiałach Microsoft towarzyszących oprogramowaniu. Jednakże Microsoft nie udziela żadnych innych umownych gwarancji i zapewnień dotyczących licencjonowanego oprogramowania.</w:t>
      </w:r>
    </w:p>
    <w:p w:rsidR="006E26BF" w:rsidRPr="00BA7B72" w:rsidRDefault="006E26BF" w:rsidP="006E26BF">
      <w:pPr>
        <w:ind w:left="717"/>
      </w:pPr>
      <w:r>
        <w:rPr>
          <w:b/>
          <w:sz w:val="20"/>
          <w:szCs w:val="20"/>
        </w:rPr>
        <w:t>(ii)</w:t>
      </w:r>
      <w:r>
        <w:rPr>
          <w:sz w:val="20"/>
          <w:szCs w:val="20"/>
        </w:rPr>
        <w:tab/>
      </w:r>
      <w:r>
        <w:rPr>
          <w:b/>
          <w:sz w:val="20"/>
          <w:szCs w:val="20"/>
        </w:rPr>
        <w:t>Ograniczenie odpowiedzialności</w:t>
      </w:r>
      <w:r w:rsidRPr="0092185D">
        <w:rPr>
          <w:b/>
          <w:bCs/>
          <w:sz w:val="20"/>
          <w:szCs w:val="20"/>
        </w:rPr>
        <w:t>.</w:t>
      </w:r>
      <w:r>
        <w:rPr>
          <w:sz w:val="20"/>
          <w:szCs w:val="20"/>
        </w:rPr>
        <w:t xml:space="preserve"> W przypadku umyślnego działania, rażącego niedbalstwa, roszczeń opartych na ustawie o odpowiedzialności za produkt oraz w przypadku śmierci lub uszczerbku na zdrowiu Microsoft ponosi odpowiedzialność zgodnie z przepisami bezwzględnie obowiązującymi.</w:t>
      </w:r>
    </w:p>
    <w:p w:rsidR="006E26BF" w:rsidRPr="00BA7B72" w:rsidRDefault="006E26BF" w:rsidP="006E26BF">
      <w:pPr>
        <w:pStyle w:val="Heading1"/>
        <w:numPr>
          <w:ilvl w:val="0"/>
          <w:numId w:val="0"/>
        </w:numPr>
        <w:tabs>
          <w:tab w:val="left" w:pos="720"/>
        </w:tabs>
        <w:ind w:left="717"/>
      </w:pPr>
      <w:r>
        <w:rPr>
          <w:b w:val="0"/>
          <w:sz w:val="20"/>
          <w:szCs w:val="20"/>
        </w:rPr>
        <w:t>Z zastrzeżeniem postanowień zawartych w powyższym podpunkcie (ii), Microsoft ponosi odpowiedzialność jedynie z tytułu nieznacznego niedbalstwa w przypadku niewywiązania się ze swoich istotnych zobowiązań umownych, których naruszenie mogłoby stanowić zagrożenie dla realizacji celu niniejszej umowy, a co do wypełnienia których strona może mieć bezwzględne zaufanie (tzw. podstawowe zobowiązania umowne). Microsoft nie ponosi żadnej odpowiedzialności z tytułu pozostałych przypadków nieznacznego niedbalstwa.</w:t>
      </w:r>
    </w:p>
    <w:p w:rsidR="00A31C77" w:rsidRPr="00BA7B72" w:rsidRDefault="005F7C07" w:rsidP="00057836">
      <w:pPr>
        <w:pStyle w:val="Heading1Unbold"/>
        <w:spacing w:before="120" w:after="120"/>
      </w:pPr>
      <w:r>
        <w:rPr>
          <w:b/>
          <w:bCs/>
          <w:sz w:val="20"/>
          <w:szCs w:val="20"/>
        </w:rPr>
        <w:t>OGRANICZENIE I WYŁĄCZENIE ODPOWIEDZIALNOŚCI ZA SZKODY. MICROSOFT I</w:t>
      </w:r>
      <w:r w:rsidR="002447C2">
        <w:rPr>
          <w:b/>
          <w:bCs/>
          <w:sz w:val="20"/>
          <w:szCs w:val="20"/>
        </w:rPr>
        <w:t> </w:t>
      </w:r>
      <w:r>
        <w:rPr>
          <w:b/>
          <w:bCs/>
          <w:sz w:val="20"/>
          <w:szCs w:val="20"/>
        </w:rPr>
        <w:t>DOSTAWCY MICROSOFT PONOSZĄ ODPOWIEDZIALNOŚĆ WYŁĄCZNIE ZA SZKODY BEZPOŚREDNIE DO KWOTY 5,00 USD. LICENCJOBIORCA NIE MOŻE DOCHODZIĆ ROSZCZEŃ Z TYTUŁU ŻADNYCH INNYCH SZKÓD I ODSZKODOWAŃ, W TYM ODSZKODOWAŃ SPECJALNYCH ORAZ SZKÓD WYNIKAJĄCYCH Z UTRATY ZYSKÓW, SZKÓD WTÓRNYCH, SZCZEGÓLNYCH, POŚREDNICH ANI UBOCZNYCH.</w:t>
      </w:r>
    </w:p>
    <w:p w:rsidR="00A31C77" w:rsidRPr="00BA7B72" w:rsidRDefault="005F7C07" w:rsidP="00CF73DE">
      <w:pPr>
        <w:pStyle w:val="Heading1Unbold"/>
        <w:numPr>
          <w:ilvl w:val="0"/>
          <w:numId w:val="0"/>
        </w:numPr>
        <w:spacing w:before="120" w:after="120"/>
        <w:ind w:left="360" w:hanging="3"/>
      </w:pPr>
      <w:r>
        <w:rPr>
          <w:bCs/>
          <w:sz w:val="20"/>
          <w:szCs w:val="20"/>
        </w:rPr>
        <w:t>Ograniczenie to ma zastosowanie w przypadku (a) wszelkich kwestii dotyczących oprogramowania, usług, treści (w tym kodu) udostępnianych na stronach internetowych osób trzecich lub aplikacji osób trzecich, a także w przypadku (b) roszczeń z tytułu naruszenia umowy, rękojmi, gwarancji lub zapewnień lub z tytułu odpowiedzialności obiektywnej, niedbalstwa lub czynu niedozwolonego, w zakresie dozwolonym przez prawo właściwe.</w:t>
      </w:r>
    </w:p>
    <w:p w:rsidR="00CE6053" w:rsidRPr="00BA7B72" w:rsidRDefault="005F7C07" w:rsidP="00CF73DE">
      <w:pPr>
        <w:pStyle w:val="Heading1Unbold"/>
        <w:numPr>
          <w:ilvl w:val="0"/>
          <w:numId w:val="0"/>
        </w:numPr>
        <w:spacing w:before="120" w:after="120"/>
        <w:ind w:left="357"/>
      </w:pPr>
      <w:r>
        <w:rPr>
          <w:bCs/>
          <w:sz w:val="20"/>
          <w:szCs w:val="20"/>
        </w:rPr>
        <w:t>Ograniczenie to ma zastosowanie także w przypadku, gdy spółka Microsoft wiedziała lub powinna była wiedzieć o możliwości powstania takich szkód. Powyższe ograniczenie i wyłączenie mogą nie dotyczyć Licencjobiorcy w przypadku, gdy na mocy prawa krajowego lub stanowego nie jest dozwolone wyłączenie ani ograniczenie odpowiedzialności za szkody uboczne, wtórne itp.</w:t>
      </w:r>
    </w:p>
    <w:p w:rsidR="00AF6E5D" w:rsidRPr="00BA7B72" w:rsidRDefault="00AF6E5D">
      <w:pPr>
        <w:spacing w:before="0" w:after="0"/>
      </w:pPr>
      <w:r>
        <w:br w:type="page"/>
      </w:r>
    </w:p>
    <w:p w:rsidR="00AF6E5D" w:rsidRPr="00BA7B72" w:rsidRDefault="00AF6E5D" w:rsidP="0092772C">
      <w:pPr>
        <w:spacing w:before="0" w:after="0"/>
      </w:pPr>
    </w:p>
    <w:p w:rsidR="0071708E" w:rsidRPr="00BA7B72" w:rsidRDefault="0071708E" w:rsidP="0071708E">
      <w:pPr>
        <w:widowControl w:val="0"/>
      </w:pPr>
      <w:r>
        <w:rPr>
          <w:rFonts w:eastAsia="SimSun"/>
          <w:b/>
          <w:bCs/>
          <w:sz w:val="20"/>
          <w:szCs w:val="20"/>
        </w:rPr>
        <w:t>*************************************************************************</w:t>
      </w:r>
    </w:p>
    <w:p w:rsidR="006242AF" w:rsidRPr="00BA7B72" w:rsidRDefault="006242AF" w:rsidP="006242AF">
      <w:pPr>
        <w:pStyle w:val="HeadingWarranty"/>
        <w:widowControl w:val="0"/>
      </w:pPr>
      <w:r>
        <w:rPr>
          <w:rFonts w:eastAsia="SimSun"/>
          <w:sz w:val="20"/>
          <w:szCs w:val="20"/>
        </w:rPr>
        <w:t>OGRANICZONA GWARANCJA</w:t>
      </w:r>
    </w:p>
    <w:p w:rsidR="006242AF" w:rsidRPr="00BA7B72" w:rsidRDefault="006242AF" w:rsidP="006242AF">
      <w:pPr>
        <w:pStyle w:val="Heading1Warranty"/>
        <w:widowControl w:val="0"/>
      </w:pPr>
      <w:r>
        <w:rPr>
          <w:rFonts w:eastAsia="SimSun"/>
          <w:b/>
          <w:bCs/>
          <w:sz w:val="20"/>
          <w:szCs w:val="20"/>
        </w:rPr>
        <w:t>OGRANICZONA GWARANCJA.</w:t>
      </w:r>
      <w:r>
        <w:rPr>
          <w:rFonts w:eastAsia="SimSun"/>
          <w:sz w:val="20"/>
          <w:szCs w:val="20"/>
        </w:rPr>
        <w:t xml:space="preserve"> Jeśli Licencjobiorca będzie postępować zgodnie z instrukcjami, oprogramowanie będzie działać zasadniczo zgodnie z opisem znajdującym się w materiałach Microsoft towarzyszących oprogramowaniu.</w:t>
      </w:r>
    </w:p>
    <w:p w:rsidR="006242AF" w:rsidRPr="00BA7B72" w:rsidRDefault="006242AF" w:rsidP="006242AF">
      <w:pPr>
        <w:ind w:left="360"/>
      </w:pPr>
      <w:r>
        <w:rPr>
          <w:bCs/>
          <w:sz w:val="20"/>
          <w:szCs w:val="20"/>
        </w:rPr>
        <w:t>Odniesienia do „ograniczonej gwarancji”</w:t>
      </w:r>
      <w:r>
        <w:rPr>
          <w:sz w:val="20"/>
          <w:szCs w:val="20"/>
        </w:rPr>
        <w:t xml:space="preserve"> stanowią odniesienia do wyraźnie określonej gwarancji udzielanej przez Microsoft. Niniejsza gwarancja uzupełnia inne prawa i uprawnienia przysługujące Licencjobiorcy na mocy przepisów prawa, łącznie z jego prawami i uprawnieniami wynikającymi z ustawowych rękojmi na mocy krajowej ustawy o ochronie konsumentów.</w:t>
      </w:r>
    </w:p>
    <w:p w:rsidR="006242AF" w:rsidRPr="00BA7B72" w:rsidRDefault="006242AF" w:rsidP="006242AF">
      <w:pPr>
        <w:pStyle w:val="Heading1Warranty"/>
        <w:widowControl w:val="0"/>
      </w:pPr>
      <w:r>
        <w:rPr>
          <w:rFonts w:eastAsia="SimSun"/>
          <w:b/>
          <w:bCs/>
          <w:sz w:val="20"/>
          <w:szCs w:val="20"/>
        </w:rPr>
        <w:t xml:space="preserve">OKRES OBOWIĄZYWANIA GWARANCJI, BENEFICJENT GWARANCJI, OKRES OBOWIĄZYWANIA DOROZUMIANYCH GWARANCJI. </w:t>
      </w:r>
      <w:r>
        <w:rPr>
          <w:b/>
          <w:bCs/>
          <w:sz w:val="20"/>
          <w:szCs w:val="20"/>
        </w:rPr>
        <w:t>Niniejsza ograniczona gwarancja obejmuje oprogramowanie przez okres jednego roku od daty jego nabycia przez pierwszego użytkownika. Jeśli w tym czasie Licencjobiorca otrzyma uzupełnienia, aktualizacje lub oprogramowanie zastępcze, będą one objęte gwarancją przez dłuższy z następujących okresów: czas pozostały do wygaśnięcia gwarancji albo przez 30 dni</w:t>
      </w:r>
      <w:r>
        <w:rPr>
          <w:rFonts w:eastAsia="SimSun"/>
          <w:b/>
          <w:bCs/>
          <w:sz w:val="20"/>
          <w:szCs w:val="20"/>
        </w:rPr>
        <w:t>.</w:t>
      </w:r>
      <w:r>
        <w:rPr>
          <w:rFonts w:eastAsia="SimSun"/>
          <w:sz w:val="20"/>
          <w:szCs w:val="20"/>
        </w:rPr>
        <w:t xml:space="preserve"> Jeśli pierwszy użytkownik przekaże oprogramowanie osobie trzeciej, odbiorcy będzie przysługiwać gwarancja na oprogramowanie obowiązująca do czasu jej wygaśnięcia.</w:t>
      </w:r>
    </w:p>
    <w:p w:rsidR="006242AF" w:rsidRPr="00BA7B72" w:rsidRDefault="00972B5B" w:rsidP="006242AF">
      <w:pPr>
        <w:pStyle w:val="Body1"/>
        <w:widowControl w:val="0"/>
      </w:pPr>
      <w:r>
        <w:rPr>
          <w:b/>
          <w:bCs/>
          <w:sz w:val="20"/>
          <w:szCs w:val="20"/>
        </w:rPr>
        <w:t>W zakresie dozwolonym przez prawo wszelkie uprawnienia z tytułu dorozumianych rękojmi, gwarancji lub innych zapewnień mają zastosowanie tylko w okresie obowiązywania niniejszej ograniczonej gwarancji</w:t>
      </w:r>
      <w:r>
        <w:rPr>
          <w:rFonts w:eastAsia="SimSun"/>
          <w:b/>
          <w:bCs/>
          <w:sz w:val="20"/>
          <w:szCs w:val="20"/>
        </w:rPr>
        <w:t>.</w:t>
      </w:r>
      <w:r>
        <w:rPr>
          <w:rFonts w:eastAsia="SimSun"/>
          <w:sz w:val="20"/>
          <w:szCs w:val="20"/>
        </w:rPr>
        <w:t xml:space="preserve"> Prawo obowiązujące w niektórych krajach nie zezwala na ograniczenie okresu obowiązywania dorozumianej rękojmi. Powyższe ograniczenia mogą zatem nie dotyczyć Licencjobiorcy. Ponadto ograniczenia te mogą nie dotyczyć Licencjobiorcy, ponieważ w niektórych krajach nie zezwala się na ograniczanie okresu obowiązywania dorozumianych rękojmi, gwarancji lub zapewnień.</w:t>
      </w:r>
    </w:p>
    <w:p w:rsidR="006242AF" w:rsidRPr="00BA7B72" w:rsidRDefault="006242AF" w:rsidP="006242AF">
      <w:pPr>
        <w:pStyle w:val="Heading1Warranty"/>
        <w:widowControl w:val="0"/>
      </w:pPr>
      <w:r>
        <w:rPr>
          <w:rFonts w:eastAsia="SimSun"/>
          <w:b/>
          <w:bCs/>
          <w:sz w:val="20"/>
          <w:szCs w:val="20"/>
        </w:rPr>
        <w:t>WYŁĄCZENIA GWARANCJI.</w:t>
      </w:r>
      <w:r>
        <w:rPr>
          <w:rFonts w:eastAsia="SimSun"/>
          <w:sz w:val="20"/>
          <w:szCs w:val="20"/>
        </w:rPr>
        <w:t xml:space="preserve"> Niniejsza gwarancja nie obejmuje problemów spowodowanych działaniami (lub zaniechaniami) Licencjobiorcy, działaniami innych osób ani zdarzeniami powstałymi z przyczyn niezależnych od Microsoft.</w:t>
      </w:r>
    </w:p>
    <w:p w:rsidR="006242AF" w:rsidRPr="00BA7B72" w:rsidRDefault="006242AF" w:rsidP="006242AF">
      <w:pPr>
        <w:pStyle w:val="Heading1Warranty"/>
        <w:widowControl w:val="0"/>
      </w:pPr>
      <w:r>
        <w:rPr>
          <w:rFonts w:eastAsia="SimSun"/>
          <w:b/>
          <w:bCs/>
          <w:sz w:val="20"/>
          <w:szCs w:val="20"/>
        </w:rPr>
        <w:t xml:space="preserve">UPRAWNIENIA Z TYTUŁU NARUSZENIA GWARANCJI. </w:t>
      </w:r>
      <w:r>
        <w:rPr>
          <w:b/>
          <w:bCs/>
          <w:sz w:val="20"/>
          <w:szCs w:val="20"/>
        </w:rPr>
        <w:t>Microsoft dokona bezpłatnej naprawy lub wymiany oprogramowania. Jeśli Microsoft nie będzie w stanie naprawić ani wymienić oprogramowania, zwróci Licencjobiorcy kwotę znajdującą się na potwierdzeniu zakupu oprogramowania. Microsoft także bezpłatnie naprawi lub wymieni uzupełnienia, aktualizacje i oprogramowanie zastępcze. Jeśli Microsoft nie będzie w stanie naprawić albo wymienić tych elementów, zwróci Licencjobiorcy kwotę zapłaconą za powyższe elementy, jeśli płatność taka została dokonana. Aby otrzymać zwrot pieniędzy, Licencjobiorca musi odinstalować oprogramowanie i zwrócić je do Microsoft wraz z nośnikami oraz innymi materiałami towarzyszącymi oprogramowaniu, okazując przy tym dowód zakupu oprogramowania. Są to jedyne uprawnienia, jakie przysługują Licencjobiorcy z tytułu naruszenia ograniczonej gwarancji</w:t>
      </w:r>
      <w:r>
        <w:rPr>
          <w:rFonts w:eastAsia="SimSun"/>
          <w:b/>
          <w:bCs/>
          <w:sz w:val="20"/>
          <w:szCs w:val="20"/>
        </w:rPr>
        <w:t>.</w:t>
      </w:r>
    </w:p>
    <w:p w:rsidR="006242AF" w:rsidRPr="00BA7B72" w:rsidRDefault="006242AF" w:rsidP="006242AF">
      <w:pPr>
        <w:pStyle w:val="Heading1Warranty"/>
        <w:widowControl w:val="0"/>
      </w:pPr>
      <w:r>
        <w:rPr>
          <w:rFonts w:eastAsia="SimSun"/>
          <w:b/>
          <w:bCs/>
          <w:sz w:val="20"/>
          <w:szCs w:val="20"/>
        </w:rPr>
        <w:t xml:space="preserve">ZACHOWANIE PRAW KONSUMENTA. </w:t>
      </w:r>
      <w:r>
        <w:rPr>
          <w:b/>
          <w:bCs/>
          <w:sz w:val="20"/>
          <w:szCs w:val="20"/>
        </w:rPr>
        <w:t>Niniejsza umowa nie wpływa na dodatkowe prawa konsumenta, jakie mogą przysługiwać Licencjobiorcy na mocy prawa krajowego</w:t>
      </w:r>
      <w:r>
        <w:rPr>
          <w:rFonts w:eastAsia="SimSun"/>
          <w:b/>
          <w:bCs/>
          <w:sz w:val="20"/>
          <w:szCs w:val="20"/>
        </w:rPr>
        <w:t>.</w:t>
      </w:r>
    </w:p>
    <w:p w:rsidR="006242AF" w:rsidRPr="00BA7B72" w:rsidRDefault="006242AF" w:rsidP="006242AF">
      <w:pPr>
        <w:pStyle w:val="Heading1Warranty"/>
        <w:widowControl w:val="0"/>
      </w:pPr>
      <w:r>
        <w:rPr>
          <w:rFonts w:eastAsia="SimSun"/>
          <w:b/>
          <w:bCs/>
          <w:sz w:val="20"/>
          <w:szCs w:val="20"/>
        </w:rPr>
        <w:t xml:space="preserve">PROCEDURY GWARANCYJNE. </w:t>
      </w:r>
      <w:r>
        <w:rPr>
          <w:rFonts w:eastAsia="SimSun"/>
          <w:sz w:val="20"/>
          <w:szCs w:val="20"/>
        </w:rPr>
        <w:t>Uzyskanie dostępu do usług gwarancyjnych wymaga okazania dowodu zakupu oprogramowania.</w:t>
      </w:r>
    </w:p>
    <w:p w:rsidR="006242AF" w:rsidRPr="00BA7B72" w:rsidRDefault="006242AF" w:rsidP="006242AF">
      <w:pPr>
        <w:pStyle w:val="Heading2Warranty"/>
        <w:widowControl w:val="0"/>
      </w:pPr>
      <w:r>
        <w:rPr>
          <w:rFonts w:eastAsia="SimSun"/>
          <w:b/>
          <w:bCs/>
          <w:sz w:val="20"/>
          <w:szCs w:val="20"/>
        </w:rPr>
        <w:t>Stany Zjednoczone i Kanada.</w:t>
      </w:r>
      <w:r>
        <w:rPr>
          <w:rFonts w:eastAsia="SimSun"/>
          <w:sz w:val="20"/>
          <w:szCs w:val="20"/>
        </w:rPr>
        <w:t xml:space="preserve"> Aby skorzystać z usługi gwarancyjnej lub uzyskać informacje na temat zwrotu pieniędzy za oprogramowanie nabyte w Stanach Zjednoczonych lub Kanadzie, należy skontaktować się z Microsoft:</w:t>
      </w:r>
    </w:p>
    <w:p w:rsidR="006242AF" w:rsidRPr="00BA7B72" w:rsidRDefault="006242AF" w:rsidP="002E15C0">
      <w:pPr>
        <w:pStyle w:val="Bullet3"/>
        <w:widowControl w:val="0"/>
        <w:ind w:left="1080" w:hanging="360"/>
      </w:pPr>
      <w:r>
        <w:rPr>
          <w:rFonts w:eastAsia="SimSun"/>
          <w:sz w:val="20"/>
          <w:szCs w:val="20"/>
        </w:rPr>
        <w:t>pod numerem telefonu (800) MICROSOFT;</w:t>
      </w:r>
    </w:p>
    <w:p w:rsidR="006242AF" w:rsidRPr="00794107" w:rsidRDefault="006242AF" w:rsidP="002E15C0">
      <w:pPr>
        <w:pStyle w:val="Bullet3"/>
        <w:widowControl w:val="0"/>
        <w:ind w:left="1080" w:hanging="360"/>
        <w:rPr>
          <w:lang w:val="en-US"/>
        </w:rPr>
      </w:pPr>
      <w:r w:rsidRPr="00794107">
        <w:rPr>
          <w:rFonts w:eastAsia="SimSun"/>
          <w:sz w:val="20"/>
          <w:szCs w:val="20"/>
          <w:lang w:val="en-US"/>
        </w:rPr>
        <w:lastRenderedPageBreak/>
        <w:t>pisząc na adres Microsoft Customer Service and Support, One Microsoft Way, Redmond, WA 98052-6399, USA lub</w:t>
      </w:r>
    </w:p>
    <w:p w:rsidR="006242AF" w:rsidRPr="00BA7B72" w:rsidRDefault="006242AF" w:rsidP="002E15C0">
      <w:pPr>
        <w:pStyle w:val="Bullet3"/>
        <w:widowControl w:val="0"/>
        <w:ind w:left="1080" w:hanging="360"/>
      </w:pPr>
      <w:r>
        <w:rPr>
          <w:rFonts w:eastAsia="SimSun"/>
          <w:sz w:val="20"/>
          <w:szCs w:val="20"/>
        </w:rPr>
        <w:t xml:space="preserve">odwiedzając stronę </w:t>
      </w:r>
      <w:r>
        <w:rPr>
          <w:rStyle w:val="Hyperlink"/>
          <w:rFonts w:eastAsia="SimSun" w:cs="Tahoma"/>
          <w:sz w:val="20"/>
          <w:szCs w:val="20"/>
        </w:rPr>
        <w:t>(aka.ms/nareturns)</w:t>
      </w:r>
      <w:r>
        <w:rPr>
          <w:rFonts w:eastAsia="SimSun"/>
          <w:sz w:val="20"/>
          <w:szCs w:val="20"/>
        </w:rPr>
        <w:t>.</w:t>
      </w:r>
    </w:p>
    <w:p w:rsidR="006242AF" w:rsidRPr="00BA7B72" w:rsidRDefault="006242AF" w:rsidP="006242AF">
      <w:pPr>
        <w:pStyle w:val="Heading2Warranty"/>
        <w:widowControl w:val="0"/>
      </w:pPr>
      <w:r>
        <w:rPr>
          <w:rFonts w:eastAsia="SimSun"/>
          <w:b/>
          <w:bCs/>
          <w:sz w:val="20"/>
          <w:szCs w:val="20"/>
        </w:rPr>
        <w:t xml:space="preserve">Europa, Bliski Wschód i Afryka. </w:t>
      </w:r>
      <w:r>
        <w:rPr>
          <w:rFonts w:eastAsia="SimSun"/>
          <w:sz w:val="20"/>
          <w:szCs w:val="20"/>
        </w:rPr>
        <w:t>Jeśli Licencjobiorca nabył oprogramowanie w Europie, na Bliskim Wschodzie lub w Afryce, niniejsza ograniczona gwarancja jest udzielana przez Microsoft Ireland Operations Limited. Aby wnieść roszczenie z tytułu niniejszej gwarancji, Licencjobiorca powinien skontaktować się z:</w:t>
      </w:r>
    </w:p>
    <w:p w:rsidR="006242AF" w:rsidRPr="00794107" w:rsidRDefault="006242AF" w:rsidP="002E15C0">
      <w:pPr>
        <w:pStyle w:val="Bullet3"/>
        <w:widowControl w:val="0"/>
        <w:ind w:left="1080" w:hanging="360"/>
        <w:rPr>
          <w:lang w:val="en-US"/>
        </w:rPr>
      </w:pPr>
      <w:r w:rsidRPr="00794107">
        <w:rPr>
          <w:rFonts w:eastAsia="SimSun"/>
          <w:sz w:val="20"/>
          <w:szCs w:val="20"/>
          <w:lang w:val="en-US"/>
        </w:rPr>
        <w:t>Microsoft Ireland Operations Limited, Customer Care Centre, Atrium Building Block B, Carmanhall Road, Sandyford Industrial Estate, Dublin 18, Irlandia lub</w:t>
      </w:r>
    </w:p>
    <w:p w:rsidR="006242AF" w:rsidRPr="00BA7B72" w:rsidRDefault="006242AF" w:rsidP="002E15C0">
      <w:pPr>
        <w:pStyle w:val="Bullet3"/>
        <w:widowControl w:val="0"/>
        <w:ind w:left="1080" w:hanging="360"/>
      </w:pPr>
      <w:r>
        <w:rPr>
          <w:rFonts w:eastAsia="SimSun"/>
          <w:sz w:val="20"/>
          <w:szCs w:val="20"/>
        </w:rPr>
        <w:t>podmiotem stowarzyszonym Microsoft właściwym dla kraju Licencjobiorcy (odpowiednie informacje można znaleźć na stronie aka.ms/msoffices).</w:t>
      </w:r>
    </w:p>
    <w:p w:rsidR="006242AF" w:rsidRPr="00BA7B72" w:rsidRDefault="006242AF" w:rsidP="006242AF">
      <w:pPr>
        <w:widowControl w:val="0"/>
        <w:numPr>
          <w:ilvl w:val="1"/>
          <w:numId w:val="10"/>
        </w:numPr>
        <w:outlineLvl w:val="1"/>
      </w:pPr>
      <w:r>
        <w:rPr>
          <w:rFonts w:eastAsia="SimSun"/>
          <w:b/>
          <w:bCs/>
          <w:sz w:val="20"/>
          <w:szCs w:val="20"/>
        </w:rPr>
        <w:t xml:space="preserve">Australia. </w:t>
      </w:r>
      <w:r>
        <w:rPr>
          <w:rFonts w:eastAsia="SimSun"/>
          <w:sz w:val="20"/>
          <w:szCs w:val="20"/>
        </w:rPr>
        <w:t>Aby skorzystać z Usług Gwarancyjnych lub wystąpić o ewentualny zwrot kosztów w związku z gwarancją dla oprogramowania nabytego w Australii, należy skontaktować się z Microsoft:</w:t>
      </w:r>
    </w:p>
    <w:p w:rsidR="006242AF" w:rsidRPr="00BA7B72" w:rsidRDefault="006242AF" w:rsidP="006242AF">
      <w:pPr>
        <w:widowControl w:val="0"/>
        <w:numPr>
          <w:ilvl w:val="0"/>
          <w:numId w:val="3"/>
        </w:numPr>
      </w:pPr>
      <w:r>
        <w:rPr>
          <w:rFonts w:eastAsia="SimSun"/>
          <w:sz w:val="20"/>
          <w:szCs w:val="20"/>
        </w:rPr>
        <w:t>13 20 58 lub</w:t>
      </w:r>
    </w:p>
    <w:p w:rsidR="006242AF" w:rsidRPr="00794107" w:rsidRDefault="006242AF" w:rsidP="002E15C0">
      <w:pPr>
        <w:pStyle w:val="Bullet3"/>
        <w:widowControl w:val="0"/>
        <w:ind w:left="1080" w:hanging="360"/>
        <w:rPr>
          <w:lang w:val="en-US"/>
        </w:rPr>
      </w:pPr>
      <w:r w:rsidRPr="00794107">
        <w:rPr>
          <w:rFonts w:eastAsia="SimSun"/>
          <w:sz w:val="20"/>
          <w:szCs w:val="20"/>
          <w:lang w:val="en-US"/>
        </w:rPr>
        <w:t>pisząc na adres Microsoft Pty Ltd, 1 Epping Road, North Ryde NSW 2113, Australia.</w:t>
      </w:r>
    </w:p>
    <w:p w:rsidR="006242AF" w:rsidRPr="00BA7B72" w:rsidRDefault="006242AF" w:rsidP="006242AF">
      <w:pPr>
        <w:pStyle w:val="Heading2Warranty"/>
        <w:widowControl w:val="0"/>
      </w:pPr>
      <w:r>
        <w:rPr>
          <w:rFonts w:eastAsia="SimSun"/>
          <w:b/>
          <w:bCs/>
          <w:sz w:val="20"/>
          <w:szCs w:val="20"/>
        </w:rPr>
        <w:t xml:space="preserve">Poza Stanami Zjednoczonymi, Kanadą, Europą, Bliskim Wschodem, Afryką i Australią. </w:t>
      </w:r>
      <w:r>
        <w:rPr>
          <w:rFonts w:eastAsia="SimSun"/>
          <w:sz w:val="20"/>
          <w:szCs w:val="20"/>
        </w:rPr>
        <w:t>W przypadku nabycia oprogramowania poza Stanami Zjednoczonymi, Kanadą, Europą, Bliskim Wschodem, Afryką i Australią Licencjobiorca powinien skontaktować się z podmiotem stowarzyszonym Microsoft właściwym dla swojego kraju (odpowiednie informacje można znaleźć na stronie aka.ms/msoffices).</w:t>
      </w:r>
    </w:p>
    <w:p w:rsidR="006242AF" w:rsidRPr="00BA7B72" w:rsidRDefault="006242AF" w:rsidP="006242AF">
      <w:pPr>
        <w:pStyle w:val="Heading1Warranty"/>
        <w:widowControl w:val="0"/>
      </w:pPr>
      <w:r>
        <w:rPr>
          <w:rFonts w:eastAsia="SimSun"/>
          <w:b/>
          <w:bCs/>
          <w:sz w:val="20"/>
          <w:szCs w:val="20"/>
        </w:rPr>
        <w:t xml:space="preserve">BRAK INNYCH GWARANCJI I RĘKOJMI. </w:t>
      </w:r>
      <w:r>
        <w:rPr>
          <w:b/>
          <w:bCs/>
          <w:sz w:val="20"/>
          <w:szCs w:val="20"/>
        </w:rPr>
        <w:t>Niniejsza ograniczona gwarancja jest jedyną gwarancją udzielaną bezpośrednio przez Microsoft. Microsoft nie udziela żadnych innych wyraźnych rękojmi, gwarancji ani zapewnień dotyczących oprogramowania. W zakresie dozwolonym przez prawo krajowe Microsoft niniejszym wyłącza swoją odpowiedzialność z tytułu dorozumianych rękojmi co do wartości handlowej, przydatności do określonego celu oraz braku naruszeń praw własności intelektualnej</w:t>
      </w:r>
      <w:r>
        <w:rPr>
          <w:rFonts w:eastAsia="SimSun"/>
          <w:b/>
          <w:bCs/>
          <w:sz w:val="20"/>
          <w:szCs w:val="20"/>
        </w:rPr>
        <w:t>.</w:t>
      </w:r>
      <w:r>
        <w:rPr>
          <w:rFonts w:eastAsia="SimSun"/>
          <w:sz w:val="20"/>
          <w:szCs w:val="20"/>
        </w:rPr>
        <w:t xml:space="preserve"> Jeśli pomimo niniejszego wyłączenia Licencjobiorcy przysługują na mocy prawa miejscowego jakiekolwiek uprawnienia z tytułu dorozumianej rękojmi, gwarancji lub innych zapewnień, Licencjobiorca ma prawo do świadczeń opisanych w punkcie „Uprawnienia z tytułu naruszenia rękojmi” powyżej w zakresie dozwolonym przez obowiązujące prawo miejscowe.</w:t>
      </w:r>
    </w:p>
    <w:p w:rsidR="005C3493" w:rsidRPr="00BA7B72" w:rsidRDefault="005C3493" w:rsidP="005C3493">
      <w:pPr>
        <w:ind w:left="360"/>
      </w:pPr>
      <w:r>
        <w:rPr>
          <w:b/>
          <w:bCs/>
          <w:sz w:val="20"/>
          <w:szCs w:val="20"/>
        </w:rPr>
        <w:t>POSTANOWIENIE DOTYCZĄCE WYŁĄCZNIE LICENCJOBIORCÓW W AUSTRALII.</w:t>
      </w:r>
      <w:r>
        <w:rPr>
          <w:bCs/>
          <w:sz w:val="20"/>
          <w:szCs w:val="20"/>
        </w:rPr>
        <w:t xml:space="preserve"> </w:t>
      </w:r>
      <w:r>
        <w:rPr>
          <w:sz w:val="20"/>
          <w:szCs w:val="20"/>
        </w:rPr>
        <w:t xml:space="preserve">Odniesienia do „ograniczonej gwarancji” stanowią odniesienia do gwarancji udzielanej przez Microsoft. Gwarancja ta uzupełnia inne prawa i uprawnienia przysługujące Licencjobiorcy na mocy prawa, łącznie z jego prawami i uprawnieniami wynikającymi z australijskiej ustawy o ochronie konsumentów. Towary Microsoft są dostarczane z gwarancjami, które nie podlegają wyłączeniu na mocy australijskiej ustawy o ochronie konsumentów. Licencjobiorca ma prawo do wymiany towarów lub zwrotu kosztów w przypadku poważnej awarii oraz odszkodowania z tytułu wszelkich innych strat lub szkód, które są odpowiednio możliwe do przewidzenia. Licencjobiorca ma również prawo do skorzystania z naprawy lub wymiany towarów, jeśli jakość towarów nie jest akceptowalna, a awaria nie jest równoznaczna z poważną awarią. </w:t>
      </w:r>
      <w:r>
        <w:rPr>
          <w:rFonts w:eastAsia="SimSun"/>
          <w:sz w:val="20"/>
          <w:szCs w:val="20"/>
        </w:rPr>
        <w:t>Towary przesłane do naprawy mogą zostać zastąpione zregenerowanymi produktami tego samego typu, a nie wymienione. Zregenerowane części mogą być użyte do naprawy produktów.</w:t>
      </w:r>
    </w:p>
    <w:p w:rsidR="006242AF" w:rsidRPr="00BA7B72" w:rsidRDefault="006242AF" w:rsidP="006242AF">
      <w:pPr>
        <w:pStyle w:val="Heading1Warranty"/>
        <w:widowControl w:val="0"/>
      </w:pPr>
      <w:r>
        <w:rPr>
          <w:rFonts w:eastAsia="SimSun"/>
          <w:b/>
          <w:bCs/>
          <w:sz w:val="20"/>
          <w:szCs w:val="20"/>
        </w:rPr>
        <w:t xml:space="preserve">OGRANICZENIE I WYŁĄCZENIE ODPOWIEDZIALNOŚCI ZA SZKODY Z TYTUŁU NARUSZENIA GWARANCJI. </w:t>
      </w:r>
      <w:r>
        <w:rPr>
          <w:b/>
          <w:bCs/>
          <w:sz w:val="20"/>
          <w:szCs w:val="20"/>
        </w:rPr>
        <w:t>Powyższa klauzula dotycząca ograniczenia i wyłączenia odpowiedzialności za szkody ma zastosowanie w przypadku naruszenia niniejszej ograniczonej gwarancji</w:t>
      </w:r>
      <w:r>
        <w:rPr>
          <w:rFonts w:eastAsia="SimSun"/>
          <w:b/>
          <w:bCs/>
          <w:sz w:val="20"/>
          <w:szCs w:val="20"/>
        </w:rPr>
        <w:t>.</w:t>
      </w:r>
    </w:p>
    <w:p w:rsidR="003C2DE9" w:rsidRDefault="005C3493" w:rsidP="0092772C">
      <w:pPr>
        <w:ind w:left="360"/>
        <w:rPr>
          <w:rFonts w:eastAsia="SimSun"/>
          <w:b/>
          <w:bCs/>
          <w:sz w:val="20"/>
          <w:szCs w:val="20"/>
        </w:rPr>
      </w:pPr>
      <w:r>
        <w:rPr>
          <w:b/>
          <w:bCs/>
          <w:sz w:val="20"/>
          <w:szCs w:val="20"/>
        </w:rPr>
        <w:lastRenderedPageBreak/>
        <w:t>W ramach tej gwarancji Licencjobiorca uzyskuje określone prawa. Licencjobiorcy mogą także przysługiwać inne prawa na mocy ustawodawstwa stanowego. Ponadto Licencjobiorcy mogą przysługiwać także inne prawa na mocy ustawodawstwa krajowego</w:t>
      </w:r>
      <w:r>
        <w:rPr>
          <w:rFonts w:eastAsia="SimSun"/>
          <w:b/>
          <w:bCs/>
          <w:sz w:val="20"/>
          <w:szCs w:val="20"/>
        </w:rPr>
        <w:t>.</w:t>
      </w:r>
    </w:p>
    <w:p w:rsidR="00C34680" w:rsidRDefault="00C34680" w:rsidP="0092772C">
      <w:pPr>
        <w:ind w:left="360"/>
      </w:pPr>
    </w:p>
    <w:p w:rsidR="00C34680" w:rsidRPr="00BA7B72" w:rsidRDefault="00C34680" w:rsidP="00C34680">
      <w:r>
        <w:rPr>
          <w:rFonts w:ascii="Segoe UI" w:eastAsia="Times New Roman" w:hAnsi="Segoe UI" w:cs="Segoe UI"/>
        </w:rPr>
        <w:t>EULAID: TFS2018_RTW_</w:t>
      </w:r>
      <w:r>
        <w:rPr>
          <w:rFonts w:ascii="Segoe UI" w:eastAsia="Times New Roman" w:hAnsi="Segoe UI" w:cs="Segoe UI"/>
          <w:lang w:val="en-US"/>
        </w:rPr>
        <w:t>PLK</w:t>
      </w:r>
      <w:bookmarkStart w:id="5" w:name="_GoBack"/>
      <w:bookmarkEnd w:id="5"/>
    </w:p>
    <w:sectPr w:rsidR="00C34680" w:rsidRPr="00BA7B72" w:rsidSect="004C543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31F" w:rsidRDefault="0011731F" w:rsidP="003C2DE9">
      <w:pPr>
        <w:spacing w:before="0" w:after="0"/>
      </w:pPr>
      <w:r>
        <w:separator/>
      </w:r>
    </w:p>
  </w:endnote>
  <w:endnote w:type="continuationSeparator" w:id="0">
    <w:p w:rsidR="0011731F" w:rsidRDefault="0011731F" w:rsidP="003C2DE9">
      <w:pPr>
        <w:spacing w:before="0" w:after="0"/>
      </w:pPr>
      <w:r>
        <w:continuationSeparator/>
      </w:r>
    </w:p>
  </w:endnote>
  <w:endnote w:type="continuationNotice" w:id="1">
    <w:p w:rsidR="0011731F" w:rsidRDefault="001173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31F" w:rsidRDefault="0011731F" w:rsidP="003C2DE9">
      <w:pPr>
        <w:spacing w:before="0" w:after="0"/>
      </w:pPr>
      <w:r>
        <w:separator/>
      </w:r>
    </w:p>
  </w:footnote>
  <w:footnote w:type="continuationSeparator" w:id="0">
    <w:p w:rsidR="0011731F" w:rsidRDefault="0011731F" w:rsidP="003C2DE9">
      <w:pPr>
        <w:spacing w:before="0" w:after="0"/>
      </w:pPr>
      <w:r>
        <w:continuationSeparator/>
      </w:r>
    </w:p>
  </w:footnote>
  <w:footnote w:type="continuationNotice" w:id="1">
    <w:p w:rsidR="0011731F" w:rsidRDefault="0011731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IwNjAyMjYwNrU0trBQ0lEKTi0uzszPAykwrAUAcRolICwAAAA="/>
  </w:docVars>
  <w:rsids>
    <w:rsidRoot w:val="003C2DE9"/>
    <w:rsid w:val="000033EC"/>
    <w:rsid w:val="00004856"/>
    <w:rsid w:val="00017C56"/>
    <w:rsid w:val="0002425A"/>
    <w:rsid w:val="0002605D"/>
    <w:rsid w:val="00027224"/>
    <w:rsid w:val="0003366E"/>
    <w:rsid w:val="00033F7D"/>
    <w:rsid w:val="00036E2E"/>
    <w:rsid w:val="00040285"/>
    <w:rsid w:val="00043839"/>
    <w:rsid w:val="00052EBB"/>
    <w:rsid w:val="0005404F"/>
    <w:rsid w:val="00054311"/>
    <w:rsid w:val="00055039"/>
    <w:rsid w:val="00057836"/>
    <w:rsid w:val="00060318"/>
    <w:rsid w:val="00060AAA"/>
    <w:rsid w:val="00066752"/>
    <w:rsid w:val="00067D33"/>
    <w:rsid w:val="00073467"/>
    <w:rsid w:val="00073DDE"/>
    <w:rsid w:val="0007613F"/>
    <w:rsid w:val="00083307"/>
    <w:rsid w:val="00087CD9"/>
    <w:rsid w:val="00090444"/>
    <w:rsid w:val="00092D95"/>
    <w:rsid w:val="00096085"/>
    <w:rsid w:val="000A0D15"/>
    <w:rsid w:val="000A3C71"/>
    <w:rsid w:val="000A5BE8"/>
    <w:rsid w:val="000A7FB7"/>
    <w:rsid w:val="000C1754"/>
    <w:rsid w:val="000C4515"/>
    <w:rsid w:val="000C4BD7"/>
    <w:rsid w:val="000C6021"/>
    <w:rsid w:val="000D01CC"/>
    <w:rsid w:val="000D3B46"/>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1731F"/>
    <w:rsid w:val="00125F63"/>
    <w:rsid w:val="00134932"/>
    <w:rsid w:val="0013672F"/>
    <w:rsid w:val="0014406D"/>
    <w:rsid w:val="001466BA"/>
    <w:rsid w:val="00154FDC"/>
    <w:rsid w:val="00155909"/>
    <w:rsid w:val="0015668A"/>
    <w:rsid w:val="00157819"/>
    <w:rsid w:val="00161277"/>
    <w:rsid w:val="00165A02"/>
    <w:rsid w:val="00171F48"/>
    <w:rsid w:val="001744FD"/>
    <w:rsid w:val="001757F3"/>
    <w:rsid w:val="0018202B"/>
    <w:rsid w:val="00182600"/>
    <w:rsid w:val="00183FF4"/>
    <w:rsid w:val="001845B3"/>
    <w:rsid w:val="00190DEE"/>
    <w:rsid w:val="0019394B"/>
    <w:rsid w:val="001B04F1"/>
    <w:rsid w:val="001B06C6"/>
    <w:rsid w:val="001B2376"/>
    <w:rsid w:val="001C1619"/>
    <w:rsid w:val="001C1F5A"/>
    <w:rsid w:val="001C2DA6"/>
    <w:rsid w:val="001C2DE4"/>
    <w:rsid w:val="001C55D2"/>
    <w:rsid w:val="001D1F24"/>
    <w:rsid w:val="001D4884"/>
    <w:rsid w:val="001D5C49"/>
    <w:rsid w:val="001E0F91"/>
    <w:rsid w:val="001E194C"/>
    <w:rsid w:val="001E2A51"/>
    <w:rsid w:val="001E4979"/>
    <w:rsid w:val="001E5526"/>
    <w:rsid w:val="001E742A"/>
    <w:rsid w:val="001F01C4"/>
    <w:rsid w:val="001F16E5"/>
    <w:rsid w:val="001F3447"/>
    <w:rsid w:val="001F74C0"/>
    <w:rsid w:val="001F799B"/>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41508"/>
    <w:rsid w:val="00243EBF"/>
    <w:rsid w:val="002447C2"/>
    <w:rsid w:val="00244BC2"/>
    <w:rsid w:val="00244C9C"/>
    <w:rsid w:val="00247445"/>
    <w:rsid w:val="00250CCC"/>
    <w:rsid w:val="00253F61"/>
    <w:rsid w:val="002553DA"/>
    <w:rsid w:val="00255C30"/>
    <w:rsid w:val="00260D00"/>
    <w:rsid w:val="002619C9"/>
    <w:rsid w:val="002656BA"/>
    <w:rsid w:val="002663F8"/>
    <w:rsid w:val="00266528"/>
    <w:rsid w:val="002674B7"/>
    <w:rsid w:val="002702B7"/>
    <w:rsid w:val="00270E8E"/>
    <w:rsid w:val="00271DE6"/>
    <w:rsid w:val="00272C82"/>
    <w:rsid w:val="00275277"/>
    <w:rsid w:val="0027754A"/>
    <w:rsid w:val="002778B9"/>
    <w:rsid w:val="00277C63"/>
    <w:rsid w:val="0028541D"/>
    <w:rsid w:val="00286990"/>
    <w:rsid w:val="00286C87"/>
    <w:rsid w:val="00290B81"/>
    <w:rsid w:val="00297FBC"/>
    <w:rsid w:val="002A3637"/>
    <w:rsid w:val="002A52B9"/>
    <w:rsid w:val="002A5D3F"/>
    <w:rsid w:val="002B004B"/>
    <w:rsid w:val="002B3905"/>
    <w:rsid w:val="002B3E81"/>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066C0"/>
    <w:rsid w:val="003177EA"/>
    <w:rsid w:val="00317891"/>
    <w:rsid w:val="0032181D"/>
    <w:rsid w:val="00332858"/>
    <w:rsid w:val="0033480B"/>
    <w:rsid w:val="00334E1E"/>
    <w:rsid w:val="0034229D"/>
    <w:rsid w:val="00345753"/>
    <w:rsid w:val="00352D23"/>
    <w:rsid w:val="003558AE"/>
    <w:rsid w:val="00356513"/>
    <w:rsid w:val="00356BCF"/>
    <w:rsid w:val="00357B47"/>
    <w:rsid w:val="00357CA1"/>
    <w:rsid w:val="00361FC7"/>
    <w:rsid w:val="00366AF5"/>
    <w:rsid w:val="00371003"/>
    <w:rsid w:val="00372AC2"/>
    <w:rsid w:val="00377270"/>
    <w:rsid w:val="003827F5"/>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C7930"/>
    <w:rsid w:val="003D2EAA"/>
    <w:rsid w:val="003D34C9"/>
    <w:rsid w:val="003D38C5"/>
    <w:rsid w:val="003D501B"/>
    <w:rsid w:val="003D55CB"/>
    <w:rsid w:val="003E031C"/>
    <w:rsid w:val="003E1822"/>
    <w:rsid w:val="003E30C1"/>
    <w:rsid w:val="003E4C87"/>
    <w:rsid w:val="003F0A37"/>
    <w:rsid w:val="003F18C4"/>
    <w:rsid w:val="003F2D8A"/>
    <w:rsid w:val="003F5A99"/>
    <w:rsid w:val="003F770F"/>
    <w:rsid w:val="003F7DD7"/>
    <w:rsid w:val="00402D2B"/>
    <w:rsid w:val="00404F3D"/>
    <w:rsid w:val="0040772D"/>
    <w:rsid w:val="00412559"/>
    <w:rsid w:val="00412A62"/>
    <w:rsid w:val="0042232D"/>
    <w:rsid w:val="00423316"/>
    <w:rsid w:val="00430F84"/>
    <w:rsid w:val="00435A5C"/>
    <w:rsid w:val="00440E75"/>
    <w:rsid w:val="00442444"/>
    <w:rsid w:val="00450C9A"/>
    <w:rsid w:val="004563C1"/>
    <w:rsid w:val="00460580"/>
    <w:rsid w:val="00462302"/>
    <w:rsid w:val="004631B8"/>
    <w:rsid w:val="00463365"/>
    <w:rsid w:val="00463C3F"/>
    <w:rsid w:val="00464D5D"/>
    <w:rsid w:val="0046749C"/>
    <w:rsid w:val="00471315"/>
    <w:rsid w:val="004717AB"/>
    <w:rsid w:val="00471E21"/>
    <w:rsid w:val="00475E9D"/>
    <w:rsid w:val="004767F2"/>
    <w:rsid w:val="00476ECA"/>
    <w:rsid w:val="00477474"/>
    <w:rsid w:val="00480A78"/>
    <w:rsid w:val="004846A4"/>
    <w:rsid w:val="00484C9B"/>
    <w:rsid w:val="00486CBE"/>
    <w:rsid w:val="00492E25"/>
    <w:rsid w:val="00495A13"/>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93C"/>
    <w:rsid w:val="00521BDE"/>
    <w:rsid w:val="00523338"/>
    <w:rsid w:val="005240B3"/>
    <w:rsid w:val="00524743"/>
    <w:rsid w:val="0053235F"/>
    <w:rsid w:val="00536E25"/>
    <w:rsid w:val="005436C2"/>
    <w:rsid w:val="005476D7"/>
    <w:rsid w:val="00551F8B"/>
    <w:rsid w:val="00553D0E"/>
    <w:rsid w:val="00557B20"/>
    <w:rsid w:val="005645B3"/>
    <w:rsid w:val="00567B54"/>
    <w:rsid w:val="005721A3"/>
    <w:rsid w:val="005742F1"/>
    <w:rsid w:val="00575A66"/>
    <w:rsid w:val="00575E8A"/>
    <w:rsid w:val="005774AA"/>
    <w:rsid w:val="0057758F"/>
    <w:rsid w:val="00582C6D"/>
    <w:rsid w:val="005842F0"/>
    <w:rsid w:val="00584A4B"/>
    <w:rsid w:val="00585531"/>
    <w:rsid w:val="0058582B"/>
    <w:rsid w:val="005912D8"/>
    <w:rsid w:val="005A058E"/>
    <w:rsid w:val="005A2742"/>
    <w:rsid w:val="005A2755"/>
    <w:rsid w:val="005A2950"/>
    <w:rsid w:val="005A7E92"/>
    <w:rsid w:val="005B266A"/>
    <w:rsid w:val="005B3CE5"/>
    <w:rsid w:val="005B4939"/>
    <w:rsid w:val="005B59C1"/>
    <w:rsid w:val="005C30FE"/>
    <w:rsid w:val="005C3493"/>
    <w:rsid w:val="005C34DE"/>
    <w:rsid w:val="005C35C2"/>
    <w:rsid w:val="005D090F"/>
    <w:rsid w:val="005D3815"/>
    <w:rsid w:val="005D5AB9"/>
    <w:rsid w:val="005E0908"/>
    <w:rsid w:val="005F3DF3"/>
    <w:rsid w:val="005F3EDD"/>
    <w:rsid w:val="005F7C07"/>
    <w:rsid w:val="00601282"/>
    <w:rsid w:val="00604BD4"/>
    <w:rsid w:val="0060554C"/>
    <w:rsid w:val="00606AF2"/>
    <w:rsid w:val="00610E59"/>
    <w:rsid w:val="00614B0B"/>
    <w:rsid w:val="00621816"/>
    <w:rsid w:val="006224A9"/>
    <w:rsid w:val="00622DA8"/>
    <w:rsid w:val="006242AF"/>
    <w:rsid w:val="00624EB8"/>
    <w:rsid w:val="00625364"/>
    <w:rsid w:val="0063282F"/>
    <w:rsid w:val="006336BA"/>
    <w:rsid w:val="006407A4"/>
    <w:rsid w:val="00643088"/>
    <w:rsid w:val="00643D28"/>
    <w:rsid w:val="006444A3"/>
    <w:rsid w:val="006468E6"/>
    <w:rsid w:val="00654356"/>
    <w:rsid w:val="00655210"/>
    <w:rsid w:val="006605BE"/>
    <w:rsid w:val="006630B9"/>
    <w:rsid w:val="00666209"/>
    <w:rsid w:val="00667EF3"/>
    <w:rsid w:val="006718FA"/>
    <w:rsid w:val="00674CCF"/>
    <w:rsid w:val="00675C54"/>
    <w:rsid w:val="00677CCC"/>
    <w:rsid w:val="00680250"/>
    <w:rsid w:val="00681798"/>
    <w:rsid w:val="0068420D"/>
    <w:rsid w:val="006864ED"/>
    <w:rsid w:val="00687827"/>
    <w:rsid w:val="0069557B"/>
    <w:rsid w:val="00695612"/>
    <w:rsid w:val="006965C5"/>
    <w:rsid w:val="006A0A78"/>
    <w:rsid w:val="006A2454"/>
    <w:rsid w:val="006A2FA3"/>
    <w:rsid w:val="006A4C79"/>
    <w:rsid w:val="006A6332"/>
    <w:rsid w:val="006A68F8"/>
    <w:rsid w:val="006B1025"/>
    <w:rsid w:val="006B6C06"/>
    <w:rsid w:val="006B791C"/>
    <w:rsid w:val="006B7F2E"/>
    <w:rsid w:val="006C0DC6"/>
    <w:rsid w:val="006C5838"/>
    <w:rsid w:val="006D42DF"/>
    <w:rsid w:val="006D5C52"/>
    <w:rsid w:val="006D7518"/>
    <w:rsid w:val="006E26BF"/>
    <w:rsid w:val="006E4CC1"/>
    <w:rsid w:val="006F43CD"/>
    <w:rsid w:val="006F698D"/>
    <w:rsid w:val="0070077E"/>
    <w:rsid w:val="007007E8"/>
    <w:rsid w:val="00700893"/>
    <w:rsid w:val="00705F9B"/>
    <w:rsid w:val="007071A8"/>
    <w:rsid w:val="00713192"/>
    <w:rsid w:val="00713326"/>
    <w:rsid w:val="007150C5"/>
    <w:rsid w:val="00715142"/>
    <w:rsid w:val="007166AB"/>
    <w:rsid w:val="00717037"/>
    <w:rsid w:val="0071708E"/>
    <w:rsid w:val="00717541"/>
    <w:rsid w:val="00721BA6"/>
    <w:rsid w:val="00721E2F"/>
    <w:rsid w:val="007221C6"/>
    <w:rsid w:val="00724D6B"/>
    <w:rsid w:val="00742D87"/>
    <w:rsid w:val="0074321A"/>
    <w:rsid w:val="0074773B"/>
    <w:rsid w:val="00753122"/>
    <w:rsid w:val="00753798"/>
    <w:rsid w:val="00756A22"/>
    <w:rsid w:val="00767F8E"/>
    <w:rsid w:val="00770825"/>
    <w:rsid w:val="00774682"/>
    <w:rsid w:val="007767E2"/>
    <w:rsid w:val="0078113A"/>
    <w:rsid w:val="00781A37"/>
    <w:rsid w:val="007825B5"/>
    <w:rsid w:val="00783D98"/>
    <w:rsid w:val="00786B89"/>
    <w:rsid w:val="00787719"/>
    <w:rsid w:val="007877BB"/>
    <w:rsid w:val="007906C6"/>
    <w:rsid w:val="00790932"/>
    <w:rsid w:val="00794107"/>
    <w:rsid w:val="00794DD5"/>
    <w:rsid w:val="0079653C"/>
    <w:rsid w:val="007977F3"/>
    <w:rsid w:val="007A049C"/>
    <w:rsid w:val="007A0964"/>
    <w:rsid w:val="007A09F7"/>
    <w:rsid w:val="007A5D1D"/>
    <w:rsid w:val="007B1D6E"/>
    <w:rsid w:val="007B393B"/>
    <w:rsid w:val="007B7A8B"/>
    <w:rsid w:val="007C39F0"/>
    <w:rsid w:val="007C46AC"/>
    <w:rsid w:val="007C4842"/>
    <w:rsid w:val="007C4DF6"/>
    <w:rsid w:val="007C5518"/>
    <w:rsid w:val="007C7409"/>
    <w:rsid w:val="007C7E5D"/>
    <w:rsid w:val="007D3D13"/>
    <w:rsid w:val="007D432C"/>
    <w:rsid w:val="007E1B9B"/>
    <w:rsid w:val="007E2960"/>
    <w:rsid w:val="007E2ECA"/>
    <w:rsid w:val="007E38C1"/>
    <w:rsid w:val="007F0AFD"/>
    <w:rsid w:val="007F6296"/>
    <w:rsid w:val="007F6973"/>
    <w:rsid w:val="007F6B55"/>
    <w:rsid w:val="00804A81"/>
    <w:rsid w:val="00804B81"/>
    <w:rsid w:val="00817FCF"/>
    <w:rsid w:val="0082107B"/>
    <w:rsid w:val="0082164C"/>
    <w:rsid w:val="00821C65"/>
    <w:rsid w:val="008235E2"/>
    <w:rsid w:val="00825661"/>
    <w:rsid w:val="00827800"/>
    <w:rsid w:val="00830825"/>
    <w:rsid w:val="008320E3"/>
    <w:rsid w:val="00834F5B"/>
    <w:rsid w:val="00836226"/>
    <w:rsid w:val="00837152"/>
    <w:rsid w:val="00840239"/>
    <w:rsid w:val="008518E6"/>
    <w:rsid w:val="00864C5D"/>
    <w:rsid w:val="008662EC"/>
    <w:rsid w:val="0087214B"/>
    <w:rsid w:val="00877F4F"/>
    <w:rsid w:val="00882C88"/>
    <w:rsid w:val="008839AB"/>
    <w:rsid w:val="0088631F"/>
    <w:rsid w:val="0088665E"/>
    <w:rsid w:val="008874DA"/>
    <w:rsid w:val="00887882"/>
    <w:rsid w:val="008956F3"/>
    <w:rsid w:val="008A2BC4"/>
    <w:rsid w:val="008A5518"/>
    <w:rsid w:val="008A5629"/>
    <w:rsid w:val="008A5EF9"/>
    <w:rsid w:val="008B3485"/>
    <w:rsid w:val="008B5B04"/>
    <w:rsid w:val="008B728C"/>
    <w:rsid w:val="008C154B"/>
    <w:rsid w:val="008C2558"/>
    <w:rsid w:val="008C2C90"/>
    <w:rsid w:val="008C6F4B"/>
    <w:rsid w:val="008C730E"/>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B49"/>
    <w:rsid w:val="00907F9A"/>
    <w:rsid w:val="00910093"/>
    <w:rsid w:val="00912337"/>
    <w:rsid w:val="00913E80"/>
    <w:rsid w:val="0092121C"/>
    <w:rsid w:val="0092185D"/>
    <w:rsid w:val="00922EA3"/>
    <w:rsid w:val="00923044"/>
    <w:rsid w:val="00923842"/>
    <w:rsid w:val="00923FC6"/>
    <w:rsid w:val="0092772C"/>
    <w:rsid w:val="00932164"/>
    <w:rsid w:val="0093451C"/>
    <w:rsid w:val="0093564D"/>
    <w:rsid w:val="00936BD5"/>
    <w:rsid w:val="00937D00"/>
    <w:rsid w:val="00942A65"/>
    <w:rsid w:val="00947C67"/>
    <w:rsid w:val="009519D5"/>
    <w:rsid w:val="009525E3"/>
    <w:rsid w:val="00952652"/>
    <w:rsid w:val="0095399A"/>
    <w:rsid w:val="00953C17"/>
    <w:rsid w:val="00957282"/>
    <w:rsid w:val="009617CD"/>
    <w:rsid w:val="00961F02"/>
    <w:rsid w:val="009626C4"/>
    <w:rsid w:val="009667BE"/>
    <w:rsid w:val="009717C5"/>
    <w:rsid w:val="00972B5B"/>
    <w:rsid w:val="00972B8A"/>
    <w:rsid w:val="0097556F"/>
    <w:rsid w:val="00987E65"/>
    <w:rsid w:val="00991C00"/>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7173"/>
    <w:rsid w:val="009F1883"/>
    <w:rsid w:val="009F27AF"/>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0CC1"/>
    <w:rsid w:val="00A311DE"/>
    <w:rsid w:val="00A31924"/>
    <w:rsid w:val="00A31C77"/>
    <w:rsid w:val="00A328E8"/>
    <w:rsid w:val="00A3291C"/>
    <w:rsid w:val="00A33EDD"/>
    <w:rsid w:val="00A41E3B"/>
    <w:rsid w:val="00A4579B"/>
    <w:rsid w:val="00A4768B"/>
    <w:rsid w:val="00A526EA"/>
    <w:rsid w:val="00A5751C"/>
    <w:rsid w:val="00A6245E"/>
    <w:rsid w:val="00A640BB"/>
    <w:rsid w:val="00A657A5"/>
    <w:rsid w:val="00A662EC"/>
    <w:rsid w:val="00A70C8A"/>
    <w:rsid w:val="00A74B70"/>
    <w:rsid w:val="00A83FE6"/>
    <w:rsid w:val="00A862E3"/>
    <w:rsid w:val="00A9132C"/>
    <w:rsid w:val="00A942D7"/>
    <w:rsid w:val="00A95331"/>
    <w:rsid w:val="00AA333A"/>
    <w:rsid w:val="00AA3347"/>
    <w:rsid w:val="00AA45AF"/>
    <w:rsid w:val="00AA5563"/>
    <w:rsid w:val="00AA68AA"/>
    <w:rsid w:val="00AA761C"/>
    <w:rsid w:val="00AA7AC7"/>
    <w:rsid w:val="00AA7B45"/>
    <w:rsid w:val="00AB1392"/>
    <w:rsid w:val="00AB60B7"/>
    <w:rsid w:val="00AB7679"/>
    <w:rsid w:val="00AC1FA7"/>
    <w:rsid w:val="00AC5A25"/>
    <w:rsid w:val="00AC6809"/>
    <w:rsid w:val="00AD1C2D"/>
    <w:rsid w:val="00AE3511"/>
    <w:rsid w:val="00AE4C6E"/>
    <w:rsid w:val="00AE602D"/>
    <w:rsid w:val="00AE6FC8"/>
    <w:rsid w:val="00AF6E5D"/>
    <w:rsid w:val="00AF750D"/>
    <w:rsid w:val="00AF7937"/>
    <w:rsid w:val="00B01285"/>
    <w:rsid w:val="00B044C9"/>
    <w:rsid w:val="00B04B4A"/>
    <w:rsid w:val="00B04B8A"/>
    <w:rsid w:val="00B059F4"/>
    <w:rsid w:val="00B074C0"/>
    <w:rsid w:val="00B14223"/>
    <w:rsid w:val="00B16D53"/>
    <w:rsid w:val="00B21C8C"/>
    <w:rsid w:val="00B242FA"/>
    <w:rsid w:val="00B25FCB"/>
    <w:rsid w:val="00B274EB"/>
    <w:rsid w:val="00B30B9F"/>
    <w:rsid w:val="00B3737F"/>
    <w:rsid w:val="00B452A3"/>
    <w:rsid w:val="00B46755"/>
    <w:rsid w:val="00B5142D"/>
    <w:rsid w:val="00B51BE7"/>
    <w:rsid w:val="00B54C7C"/>
    <w:rsid w:val="00B56617"/>
    <w:rsid w:val="00B57544"/>
    <w:rsid w:val="00B65679"/>
    <w:rsid w:val="00B67FDB"/>
    <w:rsid w:val="00B737DD"/>
    <w:rsid w:val="00B7523C"/>
    <w:rsid w:val="00B776DC"/>
    <w:rsid w:val="00B77938"/>
    <w:rsid w:val="00B80B21"/>
    <w:rsid w:val="00B84954"/>
    <w:rsid w:val="00B92153"/>
    <w:rsid w:val="00B92265"/>
    <w:rsid w:val="00B92422"/>
    <w:rsid w:val="00B932EA"/>
    <w:rsid w:val="00BA0E91"/>
    <w:rsid w:val="00BA4FCD"/>
    <w:rsid w:val="00BA76A8"/>
    <w:rsid w:val="00BA7B72"/>
    <w:rsid w:val="00BB0990"/>
    <w:rsid w:val="00BB21CA"/>
    <w:rsid w:val="00BB4843"/>
    <w:rsid w:val="00BC2C89"/>
    <w:rsid w:val="00BC387F"/>
    <w:rsid w:val="00BC42F2"/>
    <w:rsid w:val="00BC65F1"/>
    <w:rsid w:val="00BD0005"/>
    <w:rsid w:val="00BE0B45"/>
    <w:rsid w:val="00BE7166"/>
    <w:rsid w:val="00BE73C6"/>
    <w:rsid w:val="00BF087B"/>
    <w:rsid w:val="00C0027D"/>
    <w:rsid w:val="00C0075F"/>
    <w:rsid w:val="00C01436"/>
    <w:rsid w:val="00C03FFE"/>
    <w:rsid w:val="00C044E8"/>
    <w:rsid w:val="00C05E9A"/>
    <w:rsid w:val="00C06F85"/>
    <w:rsid w:val="00C12D8F"/>
    <w:rsid w:val="00C22C1F"/>
    <w:rsid w:val="00C25564"/>
    <w:rsid w:val="00C27609"/>
    <w:rsid w:val="00C316E5"/>
    <w:rsid w:val="00C31D7A"/>
    <w:rsid w:val="00C333D5"/>
    <w:rsid w:val="00C34680"/>
    <w:rsid w:val="00C432C4"/>
    <w:rsid w:val="00C44AFE"/>
    <w:rsid w:val="00C44EDD"/>
    <w:rsid w:val="00C47794"/>
    <w:rsid w:val="00C47D1D"/>
    <w:rsid w:val="00C51643"/>
    <w:rsid w:val="00C57A04"/>
    <w:rsid w:val="00C6045C"/>
    <w:rsid w:val="00C65A98"/>
    <w:rsid w:val="00C7225D"/>
    <w:rsid w:val="00C750F4"/>
    <w:rsid w:val="00C76F4F"/>
    <w:rsid w:val="00C77A3A"/>
    <w:rsid w:val="00C8152F"/>
    <w:rsid w:val="00C81831"/>
    <w:rsid w:val="00C81C86"/>
    <w:rsid w:val="00C86DCE"/>
    <w:rsid w:val="00C95757"/>
    <w:rsid w:val="00C96E8A"/>
    <w:rsid w:val="00C9768D"/>
    <w:rsid w:val="00C977F7"/>
    <w:rsid w:val="00CA08E2"/>
    <w:rsid w:val="00CA58E1"/>
    <w:rsid w:val="00CB0518"/>
    <w:rsid w:val="00CB0AA7"/>
    <w:rsid w:val="00CC0F17"/>
    <w:rsid w:val="00CC2E2B"/>
    <w:rsid w:val="00CC3586"/>
    <w:rsid w:val="00CC4B27"/>
    <w:rsid w:val="00CC50E7"/>
    <w:rsid w:val="00CD2469"/>
    <w:rsid w:val="00CD3CF0"/>
    <w:rsid w:val="00CE2E90"/>
    <w:rsid w:val="00CE6053"/>
    <w:rsid w:val="00CF1365"/>
    <w:rsid w:val="00CF1B21"/>
    <w:rsid w:val="00CF2751"/>
    <w:rsid w:val="00CF4D95"/>
    <w:rsid w:val="00CF737A"/>
    <w:rsid w:val="00CF73DE"/>
    <w:rsid w:val="00D02CFE"/>
    <w:rsid w:val="00D03EF4"/>
    <w:rsid w:val="00D10547"/>
    <w:rsid w:val="00D10BA9"/>
    <w:rsid w:val="00D10C7D"/>
    <w:rsid w:val="00D16882"/>
    <w:rsid w:val="00D200A9"/>
    <w:rsid w:val="00D21FBD"/>
    <w:rsid w:val="00D26F66"/>
    <w:rsid w:val="00D27198"/>
    <w:rsid w:val="00D312F8"/>
    <w:rsid w:val="00D314FB"/>
    <w:rsid w:val="00D322CE"/>
    <w:rsid w:val="00D330AE"/>
    <w:rsid w:val="00D333E9"/>
    <w:rsid w:val="00D342CB"/>
    <w:rsid w:val="00D3492E"/>
    <w:rsid w:val="00D37231"/>
    <w:rsid w:val="00D4053E"/>
    <w:rsid w:val="00D40637"/>
    <w:rsid w:val="00D40765"/>
    <w:rsid w:val="00D46389"/>
    <w:rsid w:val="00D464EA"/>
    <w:rsid w:val="00D53580"/>
    <w:rsid w:val="00D63E00"/>
    <w:rsid w:val="00D64441"/>
    <w:rsid w:val="00D64F0D"/>
    <w:rsid w:val="00D6501D"/>
    <w:rsid w:val="00D7410F"/>
    <w:rsid w:val="00D769E6"/>
    <w:rsid w:val="00D77801"/>
    <w:rsid w:val="00D814D9"/>
    <w:rsid w:val="00D817BE"/>
    <w:rsid w:val="00D83D5C"/>
    <w:rsid w:val="00D86916"/>
    <w:rsid w:val="00D9111E"/>
    <w:rsid w:val="00D92289"/>
    <w:rsid w:val="00D970C1"/>
    <w:rsid w:val="00DA10AC"/>
    <w:rsid w:val="00DB0ABA"/>
    <w:rsid w:val="00DC1771"/>
    <w:rsid w:val="00DD0623"/>
    <w:rsid w:val="00DD16A0"/>
    <w:rsid w:val="00DD586F"/>
    <w:rsid w:val="00DD779A"/>
    <w:rsid w:val="00DD780C"/>
    <w:rsid w:val="00DE3295"/>
    <w:rsid w:val="00DF1152"/>
    <w:rsid w:val="00DF615B"/>
    <w:rsid w:val="00E012B8"/>
    <w:rsid w:val="00E078FC"/>
    <w:rsid w:val="00E1084E"/>
    <w:rsid w:val="00E13613"/>
    <w:rsid w:val="00E152E2"/>
    <w:rsid w:val="00E20B5A"/>
    <w:rsid w:val="00E23E85"/>
    <w:rsid w:val="00E254EC"/>
    <w:rsid w:val="00E26D55"/>
    <w:rsid w:val="00E274A6"/>
    <w:rsid w:val="00E346BF"/>
    <w:rsid w:val="00E346DC"/>
    <w:rsid w:val="00E34D8C"/>
    <w:rsid w:val="00E35600"/>
    <w:rsid w:val="00E35688"/>
    <w:rsid w:val="00E358E0"/>
    <w:rsid w:val="00E365AE"/>
    <w:rsid w:val="00E36D36"/>
    <w:rsid w:val="00E449FE"/>
    <w:rsid w:val="00E501F9"/>
    <w:rsid w:val="00E50CA2"/>
    <w:rsid w:val="00E53467"/>
    <w:rsid w:val="00E55AFC"/>
    <w:rsid w:val="00E614F6"/>
    <w:rsid w:val="00E619F3"/>
    <w:rsid w:val="00E640C9"/>
    <w:rsid w:val="00E64F29"/>
    <w:rsid w:val="00E64FC2"/>
    <w:rsid w:val="00E6702E"/>
    <w:rsid w:val="00E7095B"/>
    <w:rsid w:val="00E70D83"/>
    <w:rsid w:val="00E72883"/>
    <w:rsid w:val="00E76DB0"/>
    <w:rsid w:val="00E8063D"/>
    <w:rsid w:val="00E82887"/>
    <w:rsid w:val="00E84C5B"/>
    <w:rsid w:val="00E8503D"/>
    <w:rsid w:val="00E85A73"/>
    <w:rsid w:val="00E8621B"/>
    <w:rsid w:val="00E87C51"/>
    <w:rsid w:val="00E92217"/>
    <w:rsid w:val="00E94C79"/>
    <w:rsid w:val="00E97816"/>
    <w:rsid w:val="00E97C2E"/>
    <w:rsid w:val="00EB57F3"/>
    <w:rsid w:val="00EB71BC"/>
    <w:rsid w:val="00EC1BE3"/>
    <w:rsid w:val="00EC6E11"/>
    <w:rsid w:val="00ED016B"/>
    <w:rsid w:val="00ED1846"/>
    <w:rsid w:val="00ED2980"/>
    <w:rsid w:val="00ED5F04"/>
    <w:rsid w:val="00EE1B0E"/>
    <w:rsid w:val="00EE2B30"/>
    <w:rsid w:val="00EE5A3D"/>
    <w:rsid w:val="00EE6D76"/>
    <w:rsid w:val="00EE6F16"/>
    <w:rsid w:val="00EF0152"/>
    <w:rsid w:val="00EF73DF"/>
    <w:rsid w:val="00F01D0D"/>
    <w:rsid w:val="00F0511B"/>
    <w:rsid w:val="00F07D42"/>
    <w:rsid w:val="00F10699"/>
    <w:rsid w:val="00F14525"/>
    <w:rsid w:val="00F15BB7"/>
    <w:rsid w:val="00F17D9C"/>
    <w:rsid w:val="00F21F53"/>
    <w:rsid w:val="00F222AC"/>
    <w:rsid w:val="00F30182"/>
    <w:rsid w:val="00F37C3F"/>
    <w:rsid w:val="00F478E6"/>
    <w:rsid w:val="00F47A24"/>
    <w:rsid w:val="00F47F80"/>
    <w:rsid w:val="00F5064A"/>
    <w:rsid w:val="00F5264E"/>
    <w:rsid w:val="00F54850"/>
    <w:rsid w:val="00F666CE"/>
    <w:rsid w:val="00F77E85"/>
    <w:rsid w:val="00F77FC9"/>
    <w:rsid w:val="00F83732"/>
    <w:rsid w:val="00F841A0"/>
    <w:rsid w:val="00F857FD"/>
    <w:rsid w:val="00F8649D"/>
    <w:rsid w:val="00F908FD"/>
    <w:rsid w:val="00F91B58"/>
    <w:rsid w:val="00F943C5"/>
    <w:rsid w:val="00FA5D80"/>
    <w:rsid w:val="00FB08CB"/>
    <w:rsid w:val="00FB18FF"/>
    <w:rsid w:val="00FD3CAC"/>
    <w:rsid w:val="00FD49EB"/>
    <w:rsid w:val="00FD6E9B"/>
    <w:rsid w:val="00FE0F5D"/>
    <w:rsid w:val="00FE2A43"/>
    <w:rsid w:val="00FE2C29"/>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BF830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pl-PL"/>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customStyle="1" w:styleId="LogoportMarkup">
    <w:name w:val="LogoportMarkup"/>
    <w:basedOn w:val="DefaultParagraphFont"/>
    <w:rsid w:val="00BA7B72"/>
    <w:rPr>
      <w:rFonts w:ascii="Courier New" w:hAnsi="Courier New" w:cs="Courier New"/>
      <w:b w:val="0"/>
      <w:i w:val="0"/>
      <w:color w:val="FF0000"/>
      <w:sz w:val="18"/>
      <w:szCs w:val="20"/>
    </w:rPr>
  </w:style>
  <w:style w:type="character" w:customStyle="1" w:styleId="LogoportDoNotTranslate">
    <w:name w:val="LogoportDoNotTranslate"/>
    <w:basedOn w:val="DefaultParagraphFont"/>
    <w:rsid w:val="00BA7B72"/>
    <w:rPr>
      <w:rFonts w:ascii="Courier New"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42137">
      <w:marLeft w:val="0"/>
      <w:marRight w:val="0"/>
      <w:marTop w:val="0"/>
      <w:marBottom w:val="0"/>
      <w:divBdr>
        <w:top w:val="none" w:sz="0" w:space="0" w:color="auto"/>
        <w:left w:val="none" w:sz="0" w:space="0" w:color="auto"/>
        <w:bottom w:val="none" w:sz="0" w:space="0" w:color="auto"/>
        <w:right w:val="none" w:sz="0" w:space="0" w:color="auto"/>
      </w:divBdr>
    </w:div>
    <w:div w:id="402142138">
      <w:marLeft w:val="0"/>
      <w:marRight w:val="0"/>
      <w:marTop w:val="0"/>
      <w:marBottom w:val="0"/>
      <w:divBdr>
        <w:top w:val="none" w:sz="0" w:space="0" w:color="auto"/>
        <w:left w:val="none" w:sz="0" w:space="0" w:color="auto"/>
        <w:bottom w:val="none" w:sz="0" w:space="0" w:color="auto"/>
        <w:right w:val="none" w:sz="0" w:space="0" w:color="auto"/>
      </w:divBdr>
    </w:div>
    <w:div w:id="402142146">
      <w:marLeft w:val="0"/>
      <w:marRight w:val="0"/>
      <w:marTop w:val="0"/>
      <w:marBottom w:val="0"/>
      <w:divBdr>
        <w:top w:val="none" w:sz="0" w:space="0" w:color="auto"/>
        <w:left w:val="none" w:sz="0" w:space="0" w:color="auto"/>
        <w:bottom w:val="none" w:sz="0" w:space="0" w:color="auto"/>
        <w:right w:val="none" w:sz="0" w:space="0" w:color="auto"/>
      </w:divBdr>
    </w:div>
    <w:div w:id="402142147">
      <w:marLeft w:val="0"/>
      <w:marRight w:val="0"/>
      <w:marTop w:val="0"/>
      <w:marBottom w:val="0"/>
      <w:divBdr>
        <w:top w:val="none" w:sz="0" w:space="0" w:color="auto"/>
        <w:left w:val="none" w:sz="0" w:space="0" w:color="auto"/>
        <w:bottom w:val="none" w:sz="0" w:space="0" w:color="auto"/>
        <w:right w:val="none" w:sz="0" w:space="0" w:color="auto"/>
      </w:divBdr>
    </w:div>
    <w:div w:id="402142148">
      <w:marLeft w:val="0"/>
      <w:marRight w:val="0"/>
      <w:marTop w:val="0"/>
      <w:marBottom w:val="0"/>
      <w:divBdr>
        <w:top w:val="none" w:sz="0" w:space="0" w:color="auto"/>
        <w:left w:val="none" w:sz="0" w:space="0" w:color="auto"/>
        <w:bottom w:val="none" w:sz="0" w:space="0" w:color="auto"/>
        <w:right w:val="none" w:sz="0" w:space="0" w:color="auto"/>
      </w:divBdr>
    </w:div>
    <w:div w:id="402142149">
      <w:marLeft w:val="0"/>
      <w:marRight w:val="0"/>
      <w:marTop w:val="0"/>
      <w:marBottom w:val="0"/>
      <w:divBdr>
        <w:top w:val="none" w:sz="0" w:space="0" w:color="auto"/>
        <w:left w:val="none" w:sz="0" w:space="0" w:color="auto"/>
        <w:bottom w:val="none" w:sz="0" w:space="0" w:color="auto"/>
        <w:right w:val="none" w:sz="0" w:space="0" w:color="auto"/>
      </w:divBdr>
    </w:div>
    <w:div w:id="402142150">
      <w:marLeft w:val="0"/>
      <w:marRight w:val="0"/>
      <w:marTop w:val="0"/>
      <w:marBottom w:val="0"/>
      <w:divBdr>
        <w:top w:val="none" w:sz="0" w:space="0" w:color="auto"/>
        <w:left w:val="none" w:sz="0" w:space="0" w:color="auto"/>
        <w:bottom w:val="none" w:sz="0" w:space="0" w:color="auto"/>
        <w:right w:val="none" w:sz="0" w:space="0" w:color="auto"/>
      </w:divBdr>
    </w:div>
    <w:div w:id="402142151">
      <w:marLeft w:val="0"/>
      <w:marRight w:val="0"/>
      <w:marTop w:val="0"/>
      <w:marBottom w:val="0"/>
      <w:divBdr>
        <w:top w:val="none" w:sz="0" w:space="0" w:color="auto"/>
        <w:left w:val="none" w:sz="0" w:space="0" w:color="auto"/>
        <w:bottom w:val="none" w:sz="0" w:space="0" w:color="auto"/>
        <w:right w:val="none" w:sz="0" w:space="0" w:color="auto"/>
      </w:divBdr>
    </w:div>
    <w:div w:id="402142152">
      <w:marLeft w:val="0"/>
      <w:marRight w:val="0"/>
      <w:marTop w:val="0"/>
      <w:marBottom w:val="0"/>
      <w:divBdr>
        <w:top w:val="none" w:sz="0" w:space="0" w:color="auto"/>
        <w:left w:val="none" w:sz="0" w:space="0" w:color="auto"/>
        <w:bottom w:val="none" w:sz="0" w:space="0" w:color="auto"/>
        <w:right w:val="none" w:sz="0" w:space="0" w:color="auto"/>
      </w:divBdr>
    </w:div>
    <w:div w:id="402142153">
      <w:marLeft w:val="0"/>
      <w:marRight w:val="0"/>
      <w:marTop w:val="0"/>
      <w:marBottom w:val="0"/>
      <w:divBdr>
        <w:top w:val="none" w:sz="0" w:space="0" w:color="auto"/>
        <w:left w:val="none" w:sz="0" w:space="0" w:color="auto"/>
        <w:bottom w:val="none" w:sz="0" w:space="0" w:color="auto"/>
        <w:right w:val="none" w:sz="0" w:space="0" w:color="auto"/>
      </w:divBdr>
    </w:div>
    <w:div w:id="402142154">
      <w:marLeft w:val="0"/>
      <w:marRight w:val="0"/>
      <w:marTop w:val="0"/>
      <w:marBottom w:val="0"/>
      <w:divBdr>
        <w:top w:val="none" w:sz="0" w:space="0" w:color="auto"/>
        <w:left w:val="none" w:sz="0" w:space="0" w:color="auto"/>
        <w:bottom w:val="none" w:sz="0" w:space="0" w:color="auto"/>
        <w:right w:val="none" w:sz="0" w:space="0" w:color="auto"/>
      </w:divBdr>
    </w:div>
    <w:div w:id="402142155">
      <w:marLeft w:val="0"/>
      <w:marRight w:val="0"/>
      <w:marTop w:val="0"/>
      <w:marBottom w:val="0"/>
      <w:divBdr>
        <w:top w:val="none" w:sz="0" w:space="0" w:color="auto"/>
        <w:left w:val="none" w:sz="0" w:space="0" w:color="auto"/>
        <w:bottom w:val="none" w:sz="0" w:space="0" w:color="auto"/>
        <w:right w:val="none" w:sz="0" w:space="0" w:color="auto"/>
      </w:divBdr>
    </w:div>
    <w:div w:id="402142156">
      <w:marLeft w:val="0"/>
      <w:marRight w:val="0"/>
      <w:marTop w:val="0"/>
      <w:marBottom w:val="0"/>
      <w:divBdr>
        <w:top w:val="none" w:sz="0" w:space="0" w:color="auto"/>
        <w:left w:val="none" w:sz="0" w:space="0" w:color="auto"/>
        <w:bottom w:val="none" w:sz="0" w:space="0" w:color="auto"/>
        <w:right w:val="none" w:sz="0" w:space="0" w:color="auto"/>
      </w:divBdr>
    </w:div>
    <w:div w:id="402142157">
      <w:marLeft w:val="0"/>
      <w:marRight w:val="0"/>
      <w:marTop w:val="0"/>
      <w:marBottom w:val="0"/>
      <w:divBdr>
        <w:top w:val="none" w:sz="0" w:space="0" w:color="auto"/>
        <w:left w:val="none" w:sz="0" w:space="0" w:color="auto"/>
        <w:bottom w:val="none" w:sz="0" w:space="0" w:color="auto"/>
        <w:right w:val="none" w:sz="0" w:space="0" w:color="auto"/>
      </w:divBdr>
    </w:div>
    <w:div w:id="402142158">
      <w:marLeft w:val="0"/>
      <w:marRight w:val="0"/>
      <w:marTop w:val="0"/>
      <w:marBottom w:val="0"/>
      <w:divBdr>
        <w:top w:val="none" w:sz="0" w:space="0" w:color="auto"/>
        <w:left w:val="none" w:sz="0" w:space="0" w:color="auto"/>
        <w:bottom w:val="none" w:sz="0" w:space="0" w:color="auto"/>
        <w:right w:val="none" w:sz="0" w:space="0" w:color="auto"/>
      </w:divBdr>
    </w:div>
    <w:div w:id="402142159">
      <w:marLeft w:val="0"/>
      <w:marRight w:val="0"/>
      <w:marTop w:val="0"/>
      <w:marBottom w:val="0"/>
      <w:divBdr>
        <w:top w:val="none" w:sz="0" w:space="0" w:color="auto"/>
        <w:left w:val="none" w:sz="0" w:space="0" w:color="auto"/>
        <w:bottom w:val="none" w:sz="0" w:space="0" w:color="auto"/>
        <w:right w:val="none" w:sz="0" w:space="0" w:color="auto"/>
      </w:divBdr>
    </w:div>
    <w:div w:id="402142160">
      <w:marLeft w:val="0"/>
      <w:marRight w:val="0"/>
      <w:marTop w:val="0"/>
      <w:marBottom w:val="0"/>
      <w:divBdr>
        <w:top w:val="none" w:sz="0" w:space="0" w:color="auto"/>
        <w:left w:val="none" w:sz="0" w:space="0" w:color="auto"/>
        <w:bottom w:val="none" w:sz="0" w:space="0" w:color="auto"/>
        <w:right w:val="none" w:sz="0" w:space="0" w:color="auto"/>
      </w:divBdr>
    </w:div>
    <w:div w:id="402142161">
      <w:marLeft w:val="0"/>
      <w:marRight w:val="0"/>
      <w:marTop w:val="0"/>
      <w:marBottom w:val="0"/>
      <w:divBdr>
        <w:top w:val="none" w:sz="0" w:space="0" w:color="auto"/>
        <w:left w:val="none" w:sz="0" w:space="0" w:color="auto"/>
        <w:bottom w:val="none" w:sz="0" w:space="0" w:color="auto"/>
        <w:right w:val="none" w:sz="0" w:space="0" w:color="auto"/>
      </w:divBdr>
    </w:div>
    <w:div w:id="402142162">
      <w:marLeft w:val="0"/>
      <w:marRight w:val="0"/>
      <w:marTop w:val="0"/>
      <w:marBottom w:val="0"/>
      <w:divBdr>
        <w:top w:val="none" w:sz="0" w:space="0" w:color="auto"/>
        <w:left w:val="none" w:sz="0" w:space="0" w:color="auto"/>
        <w:bottom w:val="none" w:sz="0" w:space="0" w:color="auto"/>
        <w:right w:val="none" w:sz="0" w:space="0" w:color="auto"/>
      </w:divBdr>
    </w:div>
    <w:div w:id="402142163">
      <w:marLeft w:val="0"/>
      <w:marRight w:val="0"/>
      <w:marTop w:val="0"/>
      <w:marBottom w:val="0"/>
      <w:divBdr>
        <w:top w:val="none" w:sz="0" w:space="0" w:color="auto"/>
        <w:left w:val="none" w:sz="0" w:space="0" w:color="auto"/>
        <w:bottom w:val="none" w:sz="0" w:space="0" w:color="auto"/>
        <w:right w:val="none" w:sz="0" w:space="0" w:color="auto"/>
      </w:divBdr>
    </w:div>
    <w:div w:id="402142164">
      <w:marLeft w:val="0"/>
      <w:marRight w:val="0"/>
      <w:marTop w:val="0"/>
      <w:marBottom w:val="0"/>
      <w:divBdr>
        <w:top w:val="none" w:sz="0" w:space="0" w:color="auto"/>
        <w:left w:val="none" w:sz="0" w:space="0" w:color="auto"/>
        <w:bottom w:val="none" w:sz="0" w:space="0" w:color="auto"/>
        <w:right w:val="none" w:sz="0" w:space="0" w:color="auto"/>
      </w:divBdr>
    </w:div>
    <w:div w:id="402142165">
      <w:marLeft w:val="0"/>
      <w:marRight w:val="0"/>
      <w:marTop w:val="0"/>
      <w:marBottom w:val="0"/>
      <w:divBdr>
        <w:top w:val="none" w:sz="0" w:space="0" w:color="auto"/>
        <w:left w:val="none" w:sz="0" w:space="0" w:color="auto"/>
        <w:bottom w:val="none" w:sz="0" w:space="0" w:color="auto"/>
        <w:right w:val="none" w:sz="0" w:space="0" w:color="auto"/>
      </w:divBdr>
    </w:div>
    <w:div w:id="402142180">
      <w:marLeft w:val="0"/>
      <w:marRight w:val="0"/>
      <w:marTop w:val="0"/>
      <w:marBottom w:val="0"/>
      <w:divBdr>
        <w:top w:val="none" w:sz="0" w:space="0" w:color="auto"/>
        <w:left w:val="none" w:sz="0" w:space="0" w:color="auto"/>
        <w:bottom w:val="none" w:sz="0" w:space="0" w:color="auto"/>
        <w:right w:val="none" w:sz="0" w:space="0" w:color="auto"/>
      </w:divBdr>
      <w:divsChild>
        <w:div w:id="402142140">
          <w:marLeft w:val="0"/>
          <w:marRight w:val="0"/>
          <w:marTop w:val="0"/>
          <w:marBottom w:val="0"/>
          <w:divBdr>
            <w:top w:val="none" w:sz="0" w:space="0" w:color="auto"/>
            <w:left w:val="none" w:sz="0" w:space="0" w:color="auto"/>
            <w:bottom w:val="none" w:sz="0" w:space="0" w:color="auto"/>
            <w:right w:val="none" w:sz="0" w:space="0" w:color="auto"/>
          </w:divBdr>
        </w:div>
        <w:div w:id="402142169">
          <w:marLeft w:val="0"/>
          <w:marRight w:val="0"/>
          <w:marTop w:val="0"/>
          <w:marBottom w:val="0"/>
          <w:divBdr>
            <w:top w:val="none" w:sz="0" w:space="0" w:color="auto"/>
            <w:left w:val="none" w:sz="0" w:space="0" w:color="auto"/>
            <w:bottom w:val="none" w:sz="0" w:space="0" w:color="auto"/>
            <w:right w:val="none" w:sz="0" w:space="0" w:color="auto"/>
          </w:divBdr>
        </w:div>
      </w:divsChild>
    </w:div>
    <w:div w:id="402142182">
      <w:marLeft w:val="0"/>
      <w:marRight w:val="0"/>
      <w:marTop w:val="0"/>
      <w:marBottom w:val="0"/>
      <w:divBdr>
        <w:top w:val="none" w:sz="0" w:space="0" w:color="auto"/>
        <w:left w:val="none" w:sz="0" w:space="0" w:color="auto"/>
        <w:bottom w:val="none" w:sz="0" w:space="0" w:color="auto"/>
        <w:right w:val="none" w:sz="0" w:space="0" w:color="auto"/>
      </w:divBdr>
      <w:divsChild>
        <w:div w:id="402142179">
          <w:marLeft w:val="0"/>
          <w:marRight w:val="0"/>
          <w:marTop w:val="0"/>
          <w:marBottom w:val="0"/>
          <w:divBdr>
            <w:top w:val="none" w:sz="0" w:space="0" w:color="auto"/>
            <w:left w:val="none" w:sz="0" w:space="0" w:color="auto"/>
            <w:bottom w:val="none" w:sz="0" w:space="0" w:color="auto"/>
            <w:right w:val="none" w:sz="0" w:space="0" w:color="auto"/>
          </w:divBdr>
          <w:divsChild>
            <w:div w:id="402142173">
              <w:marLeft w:val="0"/>
              <w:marRight w:val="0"/>
              <w:marTop w:val="0"/>
              <w:marBottom w:val="0"/>
              <w:divBdr>
                <w:top w:val="none" w:sz="0" w:space="0" w:color="auto"/>
                <w:left w:val="none" w:sz="0" w:space="0" w:color="auto"/>
                <w:bottom w:val="none" w:sz="0" w:space="0" w:color="auto"/>
                <w:right w:val="none" w:sz="0" w:space="0" w:color="auto"/>
              </w:divBdr>
              <w:divsChild>
                <w:div w:id="402142145">
                  <w:marLeft w:val="0"/>
                  <w:marRight w:val="0"/>
                  <w:marTop w:val="0"/>
                  <w:marBottom w:val="0"/>
                  <w:divBdr>
                    <w:top w:val="none" w:sz="0" w:space="0" w:color="auto"/>
                    <w:left w:val="none" w:sz="0" w:space="0" w:color="auto"/>
                    <w:bottom w:val="none" w:sz="0" w:space="0" w:color="auto"/>
                    <w:right w:val="none" w:sz="0" w:space="0" w:color="auto"/>
                  </w:divBdr>
                  <w:divsChild>
                    <w:div w:id="402142185">
                      <w:marLeft w:val="2325"/>
                      <w:marRight w:val="0"/>
                      <w:marTop w:val="0"/>
                      <w:marBottom w:val="0"/>
                      <w:divBdr>
                        <w:top w:val="none" w:sz="0" w:space="0" w:color="auto"/>
                        <w:left w:val="none" w:sz="0" w:space="0" w:color="auto"/>
                        <w:bottom w:val="none" w:sz="0" w:space="0" w:color="auto"/>
                        <w:right w:val="none" w:sz="0" w:space="0" w:color="auto"/>
                      </w:divBdr>
                      <w:divsChild>
                        <w:div w:id="402142178">
                          <w:marLeft w:val="0"/>
                          <w:marRight w:val="0"/>
                          <w:marTop w:val="0"/>
                          <w:marBottom w:val="0"/>
                          <w:divBdr>
                            <w:top w:val="none" w:sz="0" w:space="0" w:color="auto"/>
                            <w:left w:val="none" w:sz="0" w:space="0" w:color="auto"/>
                            <w:bottom w:val="none" w:sz="0" w:space="0" w:color="auto"/>
                            <w:right w:val="none" w:sz="0" w:space="0" w:color="auto"/>
                          </w:divBdr>
                          <w:divsChild>
                            <w:div w:id="402142174">
                              <w:marLeft w:val="0"/>
                              <w:marRight w:val="0"/>
                              <w:marTop w:val="0"/>
                              <w:marBottom w:val="0"/>
                              <w:divBdr>
                                <w:top w:val="none" w:sz="0" w:space="0" w:color="auto"/>
                                <w:left w:val="none" w:sz="0" w:space="0" w:color="auto"/>
                                <w:bottom w:val="none" w:sz="0" w:space="0" w:color="auto"/>
                                <w:right w:val="none" w:sz="0" w:space="0" w:color="auto"/>
                              </w:divBdr>
                              <w:divsChild>
                                <w:div w:id="402142172">
                                  <w:marLeft w:val="0"/>
                                  <w:marRight w:val="0"/>
                                  <w:marTop w:val="0"/>
                                  <w:marBottom w:val="0"/>
                                  <w:divBdr>
                                    <w:top w:val="none" w:sz="0" w:space="0" w:color="auto"/>
                                    <w:left w:val="none" w:sz="0" w:space="0" w:color="auto"/>
                                    <w:bottom w:val="none" w:sz="0" w:space="0" w:color="auto"/>
                                    <w:right w:val="none" w:sz="0" w:space="0" w:color="auto"/>
                                  </w:divBdr>
                                  <w:divsChild>
                                    <w:div w:id="402142171">
                                      <w:marLeft w:val="0"/>
                                      <w:marRight w:val="0"/>
                                      <w:marTop w:val="0"/>
                                      <w:marBottom w:val="0"/>
                                      <w:divBdr>
                                        <w:top w:val="none" w:sz="0" w:space="0" w:color="auto"/>
                                        <w:left w:val="none" w:sz="0" w:space="0" w:color="auto"/>
                                        <w:bottom w:val="none" w:sz="0" w:space="0" w:color="auto"/>
                                        <w:right w:val="none" w:sz="0" w:space="0" w:color="auto"/>
                                      </w:divBdr>
                                      <w:divsChild>
                                        <w:div w:id="402142177">
                                          <w:marLeft w:val="0"/>
                                          <w:marRight w:val="0"/>
                                          <w:marTop w:val="0"/>
                                          <w:marBottom w:val="0"/>
                                          <w:divBdr>
                                            <w:top w:val="none" w:sz="0" w:space="0" w:color="auto"/>
                                            <w:left w:val="none" w:sz="0" w:space="0" w:color="auto"/>
                                            <w:bottom w:val="none" w:sz="0" w:space="0" w:color="auto"/>
                                            <w:right w:val="none" w:sz="0" w:space="0" w:color="auto"/>
                                          </w:divBdr>
                                          <w:divsChild>
                                            <w:div w:id="402142144">
                                              <w:marLeft w:val="0"/>
                                              <w:marRight w:val="0"/>
                                              <w:marTop w:val="0"/>
                                              <w:marBottom w:val="0"/>
                                              <w:divBdr>
                                                <w:top w:val="none" w:sz="0" w:space="0" w:color="auto"/>
                                                <w:left w:val="none" w:sz="0" w:space="0" w:color="auto"/>
                                                <w:bottom w:val="none" w:sz="0" w:space="0" w:color="auto"/>
                                                <w:right w:val="none" w:sz="0" w:space="0" w:color="auto"/>
                                              </w:divBdr>
                                              <w:divsChild>
                                                <w:div w:id="402142168">
                                                  <w:marLeft w:val="0"/>
                                                  <w:marRight w:val="0"/>
                                                  <w:marTop w:val="0"/>
                                                  <w:marBottom w:val="0"/>
                                                  <w:divBdr>
                                                    <w:top w:val="none" w:sz="0" w:space="0" w:color="auto"/>
                                                    <w:left w:val="none" w:sz="0" w:space="0" w:color="auto"/>
                                                    <w:bottom w:val="none" w:sz="0" w:space="0" w:color="auto"/>
                                                    <w:right w:val="none" w:sz="0" w:space="0" w:color="auto"/>
                                                  </w:divBdr>
                                                  <w:divsChild>
                                                    <w:div w:id="402142175">
                                                      <w:marLeft w:val="0"/>
                                                      <w:marRight w:val="0"/>
                                                      <w:marTop w:val="0"/>
                                                      <w:marBottom w:val="0"/>
                                                      <w:divBdr>
                                                        <w:top w:val="none" w:sz="0" w:space="0" w:color="auto"/>
                                                        <w:left w:val="none" w:sz="0" w:space="0" w:color="auto"/>
                                                        <w:bottom w:val="none" w:sz="0" w:space="0" w:color="auto"/>
                                                        <w:right w:val="none" w:sz="0" w:space="0" w:color="auto"/>
                                                      </w:divBdr>
                                                      <w:divsChild>
                                                        <w:div w:id="402142181">
                                                          <w:marLeft w:val="0"/>
                                                          <w:marRight w:val="0"/>
                                                          <w:marTop w:val="15"/>
                                                          <w:marBottom w:val="15"/>
                                                          <w:divBdr>
                                                            <w:top w:val="none" w:sz="0" w:space="0" w:color="auto"/>
                                                            <w:left w:val="none" w:sz="0" w:space="0" w:color="auto"/>
                                                            <w:bottom w:val="none" w:sz="0" w:space="0" w:color="auto"/>
                                                            <w:right w:val="none" w:sz="0" w:space="0" w:color="auto"/>
                                                          </w:divBdr>
                                                          <w:divsChild>
                                                            <w:div w:id="402142167">
                                                              <w:marLeft w:val="0"/>
                                                              <w:marRight w:val="0"/>
                                                              <w:marTop w:val="0"/>
                                                              <w:marBottom w:val="0"/>
                                                              <w:divBdr>
                                                                <w:top w:val="none" w:sz="0" w:space="0" w:color="auto"/>
                                                                <w:left w:val="none" w:sz="0" w:space="0" w:color="auto"/>
                                                                <w:bottom w:val="none" w:sz="0" w:space="0" w:color="auto"/>
                                                                <w:right w:val="none" w:sz="0" w:space="0" w:color="auto"/>
                                                              </w:divBdr>
                                                              <w:divsChild>
                                                                <w:div w:id="402142176">
                                                                  <w:marLeft w:val="0"/>
                                                                  <w:marRight w:val="0"/>
                                                                  <w:marTop w:val="0"/>
                                                                  <w:marBottom w:val="0"/>
                                                                  <w:divBdr>
                                                                    <w:top w:val="none" w:sz="0" w:space="0" w:color="auto"/>
                                                                    <w:left w:val="none" w:sz="0" w:space="0" w:color="auto"/>
                                                                    <w:bottom w:val="none" w:sz="0" w:space="0" w:color="auto"/>
                                                                    <w:right w:val="none" w:sz="0" w:space="0" w:color="auto"/>
                                                                  </w:divBdr>
                                                                  <w:divsChild>
                                                                    <w:div w:id="402142166">
                                                                      <w:marLeft w:val="0"/>
                                                                      <w:marRight w:val="0"/>
                                                                      <w:marTop w:val="0"/>
                                                                      <w:marBottom w:val="0"/>
                                                                      <w:divBdr>
                                                                        <w:top w:val="none" w:sz="0" w:space="0" w:color="auto"/>
                                                                        <w:left w:val="none" w:sz="0" w:space="0" w:color="auto"/>
                                                                        <w:bottom w:val="none" w:sz="0" w:space="0" w:color="auto"/>
                                                                        <w:right w:val="none" w:sz="0" w:space="0" w:color="auto"/>
                                                                      </w:divBdr>
                                                                      <w:divsChild>
                                                                        <w:div w:id="402142142">
                                                                          <w:marLeft w:val="0"/>
                                                                          <w:marRight w:val="0"/>
                                                                          <w:marTop w:val="0"/>
                                                                          <w:marBottom w:val="0"/>
                                                                          <w:divBdr>
                                                                            <w:top w:val="none" w:sz="0" w:space="0" w:color="auto"/>
                                                                            <w:left w:val="none" w:sz="0" w:space="0" w:color="auto"/>
                                                                            <w:bottom w:val="none" w:sz="0" w:space="0" w:color="auto"/>
                                                                            <w:right w:val="none" w:sz="0" w:space="0" w:color="auto"/>
                                                                          </w:divBdr>
                                                                          <w:divsChild>
                                                                            <w:div w:id="402142143">
                                                                              <w:marLeft w:val="0"/>
                                                                              <w:marRight w:val="0"/>
                                                                              <w:marTop w:val="0"/>
                                                                              <w:marBottom w:val="0"/>
                                                                              <w:divBdr>
                                                                                <w:top w:val="none" w:sz="0" w:space="0" w:color="auto"/>
                                                                                <w:left w:val="none" w:sz="0" w:space="0" w:color="auto"/>
                                                                                <w:bottom w:val="none" w:sz="0" w:space="0" w:color="auto"/>
                                                                                <w:right w:val="none" w:sz="0" w:space="0" w:color="auto"/>
                                                                              </w:divBdr>
                                                                              <w:divsChild>
                                                                                <w:div w:id="402142188">
                                                                                  <w:marLeft w:val="0"/>
                                                                                  <w:marRight w:val="0"/>
                                                                                  <w:marTop w:val="0"/>
                                                                                  <w:marBottom w:val="0"/>
                                                                                  <w:divBdr>
                                                                                    <w:top w:val="none" w:sz="0" w:space="0" w:color="auto"/>
                                                                                    <w:left w:val="none" w:sz="0" w:space="0" w:color="auto"/>
                                                                                    <w:bottom w:val="none" w:sz="0" w:space="0" w:color="auto"/>
                                                                                    <w:right w:val="none" w:sz="0" w:space="0" w:color="auto"/>
                                                                                  </w:divBdr>
                                                                                  <w:divsChild>
                                                                                    <w:div w:id="402142139">
                                                                                      <w:marLeft w:val="0"/>
                                                                                      <w:marRight w:val="0"/>
                                                                                      <w:marTop w:val="0"/>
                                                                                      <w:marBottom w:val="0"/>
                                                                                      <w:divBdr>
                                                                                        <w:top w:val="none" w:sz="0" w:space="0" w:color="auto"/>
                                                                                        <w:left w:val="none" w:sz="0" w:space="0" w:color="auto"/>
                                                                                        <w:bottom w:val="none" w:sz="0" w:space="0" w:color="auto"/>
                                                                                        <w:right w:val="none" w:sz="0" w:space="0" w:color="auto"/>
                                                                                      </w:divBdr>
                                                                                    </w:div>
                                                                                    <w:div w:id="402142141">
                                                                                      <w:marLeft w:val="0"/>
                                                                                      <w:marRight w:val="0"/>
                                                                                      <w:marTop w:val="0"/>
                                                                                      <w:marBottom w:val="0"/>
                                                                                      <w:divBdr>
                                                                                        <w:top w:val="none" w:sz="0" w:space="0" w:color="auto"/>
                                                                                        <w:left w:val="none" w:sz="0" w:space="0" w:color="auto"/>
                                                                                        <w:bottom w:val="none" w:sz="0" w:space="0" w:color="auto"/>
                                                                                        <w:right w:val="none" w:sz="0" w:space="0" w:color="auto"/>
                                                                                      </w:divBdr>
                                                                                    </w:div>
                                                                                    <w:div w:id="402142170">
                                                                                      <w:marLeft w:val="0"/>
                                                                                      <w:marRight w:val="0"/>
                                                                                      <w:marTop w:val="0"/>
                                                                                      <w:marBottom w:val="0"/>
                                                                                      <w:divBdr>
                                                                                        <w:top w:val="none" w:sz="0" w:space="0" w:color="auto"/>
                                                                                        <w:left w:val="none" w:sz="0" w:space="0" w:color="auto"/>
                                                                                        <w:bottom w:val="none" w:sz="0" w:space="0" w:color="auto"/>
                                                                                        <w:right w:val="none" w:sz="0" w:space="0" w:color="auto"/>
                                                                                      </w:divBdr>
                                                                                    </w:div>
                                                                                    <w:div w:id="402142183">
                                                                                      <w:marLeft w:val="0"/>
                                                                                      <w:marRight w:val="0"/>
                                                                                      <w:marTop w:val="0"/>
                                                                                      <w:marBottom w:val="0"/>
                                                                                      <w:divBdr>
                                                                                        <w:top w:val="none" w:sz="0" w:space="0" w:color="auto"/>
                                                                                        <w:left w:val="none" w:sz="0" w:space="0" w:color="auto"/>
                                                                                        <w:bottom w:val="none" w:sz="0" w:space="0" w:color="auto"/>
                                                                                        <w:right w:val="none" w:sz="0" w:space="0" w:color="auto"/>
                                                                                      </w:divBdr>
                                                                                    </w:div>
                                                                                    <w:div w:id="402142184">
                                                                                      <w:marLeft w:val="0"/>
                                                                                      <w:marRight w:val="0"/>
                                                                                      <w:marTop w:val="0"/>
                                                                                      <w:marBottom w:val="0"/>
                                                                                      <w:divBdr>
                                                                                        <w:top w:val="none" w:sz="0" w:space="0" w:color="auto"/>
                                                                                        <w:left w:val="none" w:sz="0" w:space="0" w:color="auto"/>
                                                                                        <w:bottom w:val="none" w:sz="0" w:space="0" w:color="auto"/>
                                                                                        <w:right w:val="none" w:sz="0" w:space="0" w:color="auto"/>
                                                                                      </w:divBdr>
                                                                                    </w:div>
                                                                                    <w:div w:id="402142186">
                                                                                      <w:marLeft w:val="0"/>
                                                                                      <w:marRight w:val="0"/>
                                                                                      <w:marTop w:val="0"/>
                                                                                      <w:marBottom w:val="0"/>
                                                                                      <w:divBdr>
                                                                                        <w:top w:val="none" w:sz="0" w:space="0" w:color="auto"/>
                                                                                        <w:left w:val="none" w:sz="0" w:space="0" w:color="auto"/>
                                                                                        <w:bottom w:val="none" w:sz="0" w:space="0" w:color="auto"/>
                                                                                        <w:right w:val="none" w:sz="0" w:space="0" w:color="auto"/>
                                                                                      </w:divBdr>
                                                                                    </w:div>
                                                                                    <w:div w:id="4021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142189">
      <w:marLeft w:val="0"/>
      <w:marRight w:val="0"/>
      <w:marTop w:val="0"/>
      <w:marBottom w:val="0"/>
      <w:divBdr>
        <w:top w:val="none" w:sz="0" w:space="0" w:color="auto"/>
        <w:left w:val="none" w:sz="0" w:space="0" w:color="auto"/>
        <w:bottom w:val="none" w:sz="0" w:space="0" w:color="auto"/>
        <w:right w:val="none" w:sz="0" w:space="0" w:color="auto"/>
      </w:divBdr>
    </w:div>
    <w:div w:id="402142190">
      <w:marLeft w:val="0"/>
      <w:marRight w:val="0"/>
      <w:marTop w:val="0"/>
      <w:marBottom w:val="0"/>
      <w:divBdr>
        <w:top w:val="none" w:sz="0" w:space="0" w:color="auto"/>
        <w:left w:val="none" w:sz="0" w:space="0" w:color="auto"/>
        <w:bottom w:val="none" w:sz="0" w:space="0" w:color="auto"/>
        <w:right w:val="none" w:sz="0" w:space="0" w:color="auto"/>
      </w:divBdr>
    </w:div>
    <w:div w:id="402142191">
      <w:marLeft w:val="0"/>
      <w:marRight w:val="0"/>
      <w:marTop w:val="0"/>
      <w:marBottom w:val="0"/>
      <w:divBdr>
        <w:top w:val="none" w:sz="0" w:space="0" w:color="auto"/>
        <w:left w:val="none" w:sz="0" w:space="0" w:color="auto"/>
        <w:bottom w:val="none" w:sz="0" w:space="0" w:color="auto"/>
        <w:right w:val="none" w:sz="0" w:space="0" w:color="auto"/>
      </w:divBdr>
    </w:div>
    <w:div w:id="402142192">
      <w:marLeft w:val="0"/>
      <w:marRight w:val="0"/>
      <w:marTop w:val="0"/>
      <w:marBottom w:val="0"/>
      <w:divBdr>
        <w:top w:val="none" w:sz="0" w:space="0" w:color="auto"/>
        <w:left w:val="none" w:sz="0" w:space="0" w:color="auto"/>
        <w:bottom w:val="none" w:sz="0" w:space="0" w:color="auto"/>
        <w:right w:val="none" w:sz="0" w:space="0" w:color="auto"/>
      </w:divBdr>
    </w:div>
    <w:div w:id="14183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s://support.microsof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xport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owtotel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microsoft.com/fwlink/?LinkId=39850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5787</Words>
  <Characters>32987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2017-10-10T07:21:00Z</dcterms:created>
  <dcterms:modified xsi:type="dcterms:W3CDTF">2017-10-18T19:57:00Z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jominana@microsoft.com</vt:lpwstr>
  </property>
  <property fmtid="{D5CDD505-2E9C-101B-9397-08002B2CF9AE}" pid="6" name="MSIP_Label_f42aa342-8706-4288-bd11-ebb85995028c_SetDate">
    <vt:lpwstr>2017-10-18T12:57:34.9903393-07:00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