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D35" w:rsidRPr="00B212A3" w:rsidRDefault="00D61D35" w:rsidP="00D61D35">
      <w:pPr>
        <w:pStyle w:val="HeadingEULA"/>
        <w:rPr>
          <w:sz w:val="19"/>
          <w:szCs w:val="19"/>
        </w:rPr>
      </w:pPr>
      <w:r>
        <w:rPr>
          <w:sz w:val="19"/>
          <w:szCs w:val="19"/>
        </w:rPr>
        <w:t>CONTRATTO DI LICENZA PER IL SOFTWARE MICROSOFT</w:t>
      </w:r>
    </w:p>
    <w:p w:rsidR="00D61D35" w:rsidRPr="00B212A3" w:rsidRDefault="00D61D35" w:rsidP="00D61D35">
      <w:pPr>
        <w:pStyle w:val="HeadingSoftwareTitle"/>
        <w:rPr>
          <w:sz w:val="19"/>
          <w:szCs w:val="19"/>
        </w:rPr>
      </w:pPr>
      <w:r>
        <w:rPr>
          <w:sz w:val="19"/>
          <w:szCs w:val="19"/>
        </w:rPr>
        <w:t xml:space="preserve">MICROSOFT VISUAL STUDIO COMMUNITY 2017 </w:t>
      </w:r>
    </w:p>
    <w:p w:rsidR="00D61D35" w:rsidRPr="007869AA" w:rsidRDefault="00D61D35" w:rsidP="00D61D35">
      <w:r>
        <w:t>Le presenti condizioni di licenza costituiscono il contratto tra il licenziatario e Microsoft Corporation (o, in base al luogo di residenza del licenziatario, una delle sue consociate). Tali condizioni si applicano al software Microsoft di cui sopra. Le condizioni si applicano inoltre a qualsiasi servizio o aggiornamento di Microsoft relativo al software, a meno che questo non sia accompagnato da condizioni differenti.</w:t>
      </w:r>
    </w:p>
    <w:p w:rsidR="00D61D35" w:rsidRPr="007869AA" w:rsidRDefault="00D61D35" w:rsidP="00D61D35">
      <w:pPr>
        <w:pStyle w:val="PreambleBorderAbove"/>
      </w:pPr>
      <w:r>
        <w:t>QUALORA IL LICENZIATARIO SI ATTENGA ALLE PRESENTI CONDIZIONI DI LICENZA, DISPORRÀ DEI DIRITTI INDICATI DI SEGUITO.</w:t>
      </w:r>
    </w:p>
    <w:p w:rsidR="00D61D35" w:rsidRPr="007869AA" w:rsidRDefault="00D61D35" w:rsidP="00D61D35">
      <w:pPr>
        <w:pStyle w:val="Heading1"/>
        <w:ind w:left="360" w:hanging="360"/>
      </w:pPr>
      <w:r>
        <w:t>INSTALLAZIONE E DIRITTI SULL’UTILIZZO.</w:t>
      </w:r>
    </w:p>
    <w:p w:rsidR="00D61D35" w:rsidRPr="007869AA" w:rsidRDefault="00D61D35" w:rsidP="000B3668">
      <w:pPr>
        <w:pStyle w:val="Heading2"/>
        <w:numPr>
          <w:ilvl w:val="1"/>
          <w:numId w:val="8"/>
        </w:numPr>
        <w:ind w:left="720" w:hanging="360"/>
      </w:pPr>
      <w:r>
        <w:t xml:space="preserve">Licenza Individuale. </w:t>
      </w:r>
      <w:r>
        <w:rPr>
          <w:b w:val="0"/>
        </w:rPr>
        <w:t>Qualora il licenziatario sia un individuo che usa le proprie applicazioni per la vendita o per altri fini, potrà utilizzare il software per sviluppare e testare tali applicazioni.</w:t>
      </w:r>
    </w:p>
    <w:p w:rsidR="00D61D35" w:rsidRPr="007869AA" w:rsidRDefault="00D61D35" w:rsidP="000B3668">
      <w:pPr>
        <w:pStyle w:val="Heading2"/>
        <w:numPr>
          <w:ilvl w:val="1"/>
          <w:numId w:val="8"/>
        </w:numPr>
        <w:ind w:left="720" w:hanging="360"/>
      </w:pPr>
      <w:r>
        <w:t xml:space="preserve">Licenze per Organizzazioni. </w:t>
      </w:r>
      <w:r>
        <w:rPr>
          <w:b w:val="0"/>
        </w:rPr>
        <w:t>Qualora il licenziatario sia un’organizzazione, i propri utenti potranno utilizzare il software come di seguito indicato:</w:t>
      </w:r>
    </w:p>
    <w:p w:rsidR="00D61D35" w:rsidRDefault="00D61D35" w:rsidP="000B3668">
      <w:pPr>
        <w:pStyle w:val="ListParagraph"/>
        <w:numPr>
          <w:ilvl w:val="0"/>
          <w:numId w:val="9"/>
        </w:numPr>
        <w:spacing w:before="0" w:after="0"/>
        <w:ind w:left="1080"/>
      </w:pPr>
      <w:r>
        <w:t>Un numero qualsiasi di utenti potrà utilizzare il software per sviluppare e testare le applicazioni rilasciate ai sensi delle licenze software open source approvate dall’Open Source Initiative (OSI).</w:t>
      </w:r>
    </w:p>
    <w:p w:rsidR="0094679A" w:rsidRDefault="0094679A" w:rsidP="000B3668">
      <w:pPr>
        <w:pStyle w:val="ListParagraph"/>
        <w:numPr>
          <w:ilvl w:val="0"/>
          <w:numId w:val="9"/>
        </w:numPr>
        <w:spacing w:before="0" w:after="0"/>
        <w:ind w:left="1080"/>
      </w:pPr>
      <w:r>
        <w:t xml:space="preserve">Un numero qualsiasi di utenti potrà utilizzare il software per sviluppare e testare le estensioni di Visual Studio. </w:t>
      </w:r>
    </w:p>
    <w:p w:rsidR="00F76785" w:rsidRPr="007869AA" w:rsidRDefault="00F76785" w:rsidP="000B3668">
      <w:pPr>
        <w:pStyle w:val="ListParagraph"/>
        <w:numPr>
          <w:ilvl w:val="0"/>
          <w:numId w:val="9"/>
        </w:numPr>
        <w:spacing w:before="0" w:after="0"/>
        <w:ind w:left="1080"/>
      </w:pPr>
      <w:r>
        <w:t>Un numero qualsiasi di utenti potrà utilizzare il software per sviluppare e testare i driver del dispositivo per il sistema operativo Windows.</w:t>
      </w:r>
    </w:p>
    <w:p w:rsidR="00D61D35" w:rsidRPr="007869AA" w:rsidRDefault="00D61D35" w:rsidP="000B3668">
      <w:pPr>
        <w:pStyle w:val="ListParagraph"/>
        <w:numPr>
          <w:ilvl w:val="0"/>
          <w:numId w:val="9"/>
        </w:numPr>
        <w:spacing w:before="0" w:after="0"/>
        <w:ind w:left="1080"/>
      </w:pPr>
      <w:r>
        <w:t>Un numero qualsiasi di utenti potrà utilizzare il software per sviluppare e testare le applicazioni come parte di un percorso didattico o di formazione online o di persona o per effettuare ricerche accademiche.</w:t>
      </w:r>
    </w:p>
    <w:p w:rsidR="00D61D35" w:rsidRDefault="00D61D35" w:rsidP="000B3668">
      <w:pPr>
        <w:pStyle w:val="ListParagraph"/>
        <w:numPr>
          <w:ilvl w:val="0"/>
          <w:numId w:val="9"/>
        </w:numPr>
        <w:spacing w:before="0" w:after="0"/>
        <w:ind w:left="1080"/>
      </w:pPr>
      <w:r>
        <w:t>Se nessuno dei casi precedenti è applicabile e il licenziatario non è un’organizzazione (in base a quanto definito di seguito), fino a massimo di 5 utenti può utilizzare il software contemporaneamente per sviluppare e testare le applicazioni.</w:t>
      </w:r>
    </w:p>
    <w:p w:rsidR="005A06CA" w:rsidRPr="007869AA" w:rsidRDefault="005A06CA" w:rsidP="005A06CA">
      <w:pPr>
        <w:pStyle w:val="ListParagraph"/>
        <w:spacing w:before="0" w:after="0"/>
        <w:ind w:left="1080"/>
      </w:pPr>
    </w:p>
    <w:p w:rsidR="005A06CA" w:rsidRDefault="00D61D35" w:rsidP="000B3668">
      <w:pPr>
        <w:pStyle w:val="ListParagraph"/>
        <w:numPr>
          <w:ilvl w:val="0"/>
          <w:numId w:val="9"/>
        </w:numPr>
        <w:spacing w:before="0" w:after="0"/>
        <w:ind w:left="1080"/>
      </w:pPr>
      <w:r>
        <w:t xml:space="preserve">Qualora il licenziatario sia un’organizzazione, i propri dipendenti e terzisti </w:t>
      </w:r>
      <w:r>
        <w:rPr>
          <w:u w:val="single"/>
        </w:rPr>
        <w:t>non</w:t>
      </w:r>
      <w:r>
        <w:t xml:space="preserve"> potranno utilizzare il software per sviluppare o testare le applicazioni del licenziatario, fatta eccezione per:  (i) il software open source, (ii) le estensioni di Visual Studio, (iii) i driver del dispositivo per il sistema operativo Windows e (iv) i fini educativi di cui sopra. </w:t>
      </w:r>
    </w:p>
    <w:p w:rsidR="005A06CA" w:rsidRDefault="005A06CA" w:rsidP="005A06CA">
      <w:pPr>
        <w:pStyle w:val="ListParagraph"/>
        <w:spacing w:before="0" w:after="0"/>
        <w:ind w:left="1080"/>
      </w:pPr>
    </w:p>
    <w:p w:rsidR="00D61D35" w:rsidRPr="007869AA" w:rsidRDefault="00D61D35" w:rsidP="005A06CA">
      <w:pPr>
        <w:pStyle w:val="ListParagraph"/>
        <w:spacing w:before="0" w:after="0"/>
        <w:ind w:left="1440"/>
      </w:pPr>
      <w:r>
        <w:rPr>
          <w:b/>
        </w:rPr>
        <w:t>Il termine “organizzazione”</w:t>
      </w:r>
      <w:r>
        <w:t xml:space="preserve"> indica un’organizzazione e le relative consociate che collettivamente dispongono di (a) più di 250 PC o utenti </w:t>
      </w:r>
      <w:r>
        <w:rPr>
          <w:u w:val="single"/>
        </w:rPr>
        <w:t>oppure</w:t>
      </w:r>
      <w:r>
        <w:t xml:space="preserve"> (b) un milione di dollari USA (o importo equivalente in altre valute locali) di ricavi annuali e il termine “consociate” indica le persone giuridiche che controllano (tramite partecipazione maggioritaria), sono controllate da, o la cui proprietà compete agli stessi soggetti che sono proprietari dell’organizzazione.</w:t>
      </w:r>
    </w:p>
    <w:p w:rsidR="009340B7" w:rsidRDefault="009340B7" w:rsidP="000B3668">
      <w:pPr>
        <w:pStyle w:val="Heading2"/>
        <w:numPr>
          <w:ilvl w:val="1"/>
          <w:numId w:val="8"/>
        </w:numPr>
        <w:ind w:left="720" w:hanging="360"/>
      </w:pPr>
      <w:r>
        <w:t>Carichi di Lavoro.</w:t>
      </w:r>
      <w:r>
        <w:rPr>
          <w:b w:val="0"/>
          <w:bCs w:val="0"/>
        </w:rPr>
        <w:t xml:space="preserve">  Le presenti condizioni di licenza si applicano all’utilizzo da parte del licenziatario dei Carichi di Lavoro resi disponibili all’interno del software,</w:t>
      </w:r>
      <w:r>
        <w:t xml:space="preserve"> </w:t>
      </w:r>
      <w:r>
        <w:rPr>
          <w:b w:val="0"/>
        </w:rPr>
        <w:t>a meno che un Carico di Lavoro o un componente di un Carico di Lavoro non venga fornito con condizioni specifiche.</w:t>
      </w:r>
    </w:p>
    <w:p w:rsidR="00420812" w:rsidRPr="00420812" w:rsidRDefault="00D61D35" w:rsidP="000B3668">
      <w:pPr>
        <w:pStyle w:val="Heading2"/>
        <w:numPr>
          <w:ilvl w:val="1"/>
          <w:numId w:val="8"/>
        </w:numPr>
        <w:ind w:left="720" w:hanging="360"/>
      </w:pPr>
      <w:r>
        <w:t xml:space="preserve">Utilizzo Dimostrativo. </w:t>
      </w:r>
      <w:r>
        <w:rPr>
          <w:b w:val="0"/>
        </w:rPr>
        <w:t>Gli utilizzi consentiti sopra includono l’uso del software per fornire una demo delle applicazioni sviluppate.</w:t>
      </w:r>
    </w:p>
    <w:p w:rsidR="00D61D35" w:rsidRPr="007869AA" w:rsidRDefault="00D61D35" w:rsidP="000B3668">
      <w:pPr>
        <w:pStyle w:val="Heading2"/>
        <w:numPr>
          <w:ilvl w:val="1"/>
          <w:numId w:val="8"/>
        </w:numPr>
        <w:ind w:left="720" w:hanging="360"/>
      </w:pPr>
      <w:r>
        <w:t xml:space="preserve">Copia di Backup. </w:t>
      </w:r>
      <w:r>
        <w:rPr>
          <w:b w:val="0"/>
          <w:bCs w:val="0"/>
        </w:rPr>
        <w:t>Il licenziatario potrà creare una copia di backup del software per eseguire una reinstallazione.</w:t>
      </w:r>
    </w:p>
    <w:p w:rsidR="00D61D35" w:rsidRPr="00BA52B9" w:rsidRDefault="00D61D35" w:rsidP="00D61D35">
      <w:pPr>
        <w:pStyle w:val="Heading1"/>
        <w:ind w:left="360" w:hanging="360"/>
      </w:pPr>
      <w:r>
        <w:t>CONDIZIONI PER COMPONENTI SPECIFICI.</w:t>
      </w:r>
    </w:p>
    <w:p w:rsidR="00D61D35" w:rsidRPr="00366BFF" w:rsidRDefault="00D61D35" w:rsidP="00D61D35">
      <w:pPr>
        <w:pStyle w:val="Heading2"/>
        <w:ind w:left="720" w:hanging="360"/>
      </w:pPr>
      <w:r>
        <w:t xml:space="preserve">Utilità. </w:t>
      </w:r>
      <w:r>
        <w:rPr>
          <w:b w:val="0"/>
        </w:rPr>
        <w:t xml:space="preserve">Il software contiene alcuni componenti identificati nell’Elenco delle Utilità alla pagina </w:t>
      </w:r>
      <w:hyperlink r:id="rId11" w:history="1">
        <w:r>
          <w:rPr>
            <w:rStyle w:val="Hyperlink"/>
            <w:b w:val="0"/>
          </w:rPr>
          <w:t>https://go.microsoft.com/fwlink/?LinkId=823095</w:t>
        </w:r>
      </w:hyperlink>
      <w:r>
        <w:rPr>
          <w:b w:val="0"/>
        </w:rPr>
        <w:t xml:space="preserve">. Il licenziatario potrà duplicare e installare tali Utilità, qualora siano incluse nel software, sui propri dispositivi per eseguire il debug e la distribuzione delle applicazioni e dei database che ha sviluppato con il software. </w:t>
      </w:r>
      <w:r>
        <w:rPr>
          <w:b w:val="0"/>
          <w:bCs w:val="0"/>
        </w:rPr>
        <w:t xml:space="preserve">Il licenziatario dovrà tenere presente che le Utilità sono progettate per un utilizzo temporaneo, che Microsoft potrebbe non essere in grado di applicare patch alle Utilità né di aggiornarle separatamente dal resto del software e che alcune Utilità potrebbero, per loro stessa natura, </w:t>
      </w:r>
      <w:r>
        <w:rPr>
          <w:b w:val="0"/>
          <w:bCs w:val="0"/>
        </w:rPr>
        <w:lastRenderedPageBreak/>
        <w:t>consentire ad altri soggetti di accedere ai dispositivi su cui sono installate. Di conseguenza, il licenziatario deve eliminare tutte le Utilità installate al termine del debug o della distribuzione di applicazioni e database.  Microsoft non è responsabile dell’utilizzo da parte di terzi delle Utilità che il licenziatario installa su un dispositivo, né dell’accesso ad esse.</w:t>
      </w:r>
    </w:p>
    <w:p w:rsidR="00D61D35" w:rsidRPr="00366BFF" w:rsidRDefault="00E731B0" w:rsidP="00D61D35">
      <w:pPr>
        <w:pStyle w:val="Heading2"/>
        <w:widowControl w:val="0"/>
        <w:ind w:left="720" w:hanging="360"/>
      </w:pPr>
      <w:r>
        <w:t xml:space="preserve">Build Tools.  </w:t>
      </w:r>
      <w:r>
        <w:rPr>
          <w:b w:val="0"/>
        </w:rPr>
        <w:t>Il licenziatario potrà duplicare e installare i file del software sui propri dispositivi di compilazione, inclusi i dispositivi fisici e le macchine virtuali o i contenitori su tali macchine, sia su macchine locali che remote di proprietà del licenziatario, ospitate su Azure per il licenziatario o dedicate esclusivamente all’utilizzo da parte del licenziatario (collettivamente, “Dispositivi di Compilazione”).  Il licenziatario e altri soggetti all’interno dell’organizzazione potranno utilizzare t</w:t>
      </w:r>
      <w:r>
        <w:rPr>
          <w:b w:val="0"/>
          <w:bCs w:val="0"/>
        </w:rPr>
        <w:t>ali file presenti nei Dispositivi di Compilazione solo per compilare e verificare le applicazioni oppure per eseguire test di qualità o delle prestazioni di tali applicazioni durante il processo di compilazione.  Per chiarezza, “applicazioni” indica le applicazioni sviluppate dal licenziatario e da altri soggetti della sua organizzazione, ciascuno dei quali è autorizzato a utilizzare il software.</w:t>
      </w:r>
      <w:r>
        <w:br/>
      </w:r>
      <w:r>
        <w:br/>
      </w:r>
    </w:p>
    <w:p w:rsidR="00D61D35" w:rsidRPr="00BA52B9" w:rsidRDefault="00D61D35" w:rsidP="00D61D35">
      <w:pPr>
        <w:pStyle w:val="Heading2"/>
        <w:ind w:left="720" w:hanging="360"/>
      </w:pPr>
      <w:r>
        <w:t xml:space="preserve">Componenti dei Tipi di Carattere. </w:t>
      </w:r>
      <w:r>
        <w:rPr>
          <w:b w:val="0"/>
        </w:rPr>
        <w:t>Durante l’esecuzione del software il licenziatario potrà utilizzare i relativi tipi di carattere per visualizzare e stampare il contenuto. Il licenziatario potrà solo (i) incorporare i tipi di carattere nel contenuto nella modalità consentita dalle limitazioni relative all’incorporamento dei tipi di carattere e (ii) scaricarli temporaneamente in una stampante o in un altro dispositivo di output per la stampa.</w:t>
      </w:r>
    </w:p>
    <w:p w:rsidR="00D61D35" w:rsidRPr="00456CB1" w:rsidRDefault="00CB672D" w:rsidP="00D61D35">
      <w:pPr>
        <w:pStyle w:val="Heading2"/>
        <w:ind w:left="720" w:hanging="360"/>
        <w:rPr>
          <w:sz w:val="20"/>
          <w:szCs w:val="20"/>
        </w:rPr>
      </w:pPr>
      <w:r>
        <w:rPr>
          <w:sz w:val="20"/>
          <w:szCs w:val="20"/>
        </w:rPr>
        <w:t xml:space="preserve">Licenze per Altri Componenti. </w:t>
      </w:r>
    </w:p>
    <w:p w:rsidR="00D61D35" w:rsidRDefault="00D61D35" w:rsidP="00D61D35">
      <w:pPr>
        <w:pStyle w:val="Bullet4"/>
      </w:pPr>
      <w:r>
        <w:rPr>
          <w:b/>
        </w:rPr>
        <w:t xml:space="preserve">Piattaforme Microsoft. </w:t>
      </w:r>
      <w:r>
        <w:t xml:space="preserve">Il software potrà includere componenti di Microsoft Windows, Microsoft Windows Server, Microsoft SQL Server, Microsoft Exchange, Microsoft Office e </w:t>
      </w:r>
      <w:r>
        <w:rPr>
          <w:sz w:val="20"/>
          <w:szCs w:val="20"/>
        </w:rPr>
        <w:t>Microsoft</w:t>
      </w:r>
      <w:r>
        <w:t xml:space="preserve"> SharePoint. Tali componenti sono disciplinati da contratti specifici e dai relativi criteri di supporto dei prodotti, come indicato nella cartella “Licenze” Microsoft fornita insieme al software. Nel caso in cui nella directory di installazione associata siano incluse anche condizioni di licenza per i suddetti componenti, tali condizioni di licenza avranno prevalenza. </w:t>
      </w:r>
    </w:p>
    <w:p w:rsidR="00D61D35" w:rsidRPr="007869AA" w:rsidRDefault="00D61D35" w:rsidP="001852C8">
      <w:pPr>
        <w:pStyle w:val="Bullet4"/>
      </w:pPr>
      <w:r>
        <w:rPr>
          <w:b/>
        </w:rPr>
        <w:t xml:space="preserve">Risorse per Sviluppatori. </w:t>
      </w:r>
      <w:r>
        <w:t xml:space="preserve">Il software include compilatori, lingue, runtime, ambienti e altre risorse. Tali componenti potranno essere disciplinati da contratti specifici ed essere soggetti a criteri propri di supporto dei prodotti. Un elenco dei suddetti componenti è disponibile all’indirizzo </w:t>
      </w:r>
      <w:hyperlink r:id="rId12" w:history="1">
        <w:r>
          <w:rPr>
            <w:rStyle w:val="Hyperlink"/>
          </w:rPr>
          <w:t>https://support.microsoft.com</w:t>
        </w:r>
      </w:hyperlink>
      <w:r>
        <w:t>.</w:t>
      </w:r>
    </w:p>
    <w:p w:rsidR="00D61D35" w:rsidRPr="00CF2973" w:rsidRDefault="009B4A6B" w:rsidP="00D61D35">
      <w:pPr>
        <w:pStyle w:val="Bullet4"/>
      </w:pPr>
      <w:r>
        <w:rPr>
          <w:b/>
        </w:rPr>
        <w:t xml:space="preserve">Componenti di Terzi. </w:t>
      </w:r>
      <w:r>
        <w:t xml:space="preserve">Il software potrà includere componenti di terzi con comunicazioni legali distinte o disciplinati da altri contratti, come indicato nel o nei file ThirdPartyNotices relativi al software. </w:t>
      </w:r>
    </w:p>
    <w:p w:rsidR="00093E38" w:rsidRPr="00CF2973" w:rsidRDefault="00093E38" w:rsidP="00B212A3">
      <w:pPr>
        <w:pStyle w:val="Heading2"/>
        <w:numPr>
          <w:ilvl w:val="0"/>
          <w:numId w:val="0"/>
        </w:numPr>
        <w:ind w:left="1080"/>
        <w:rPr>
          <w:b w:val="0"/>
        </w:rPr>
      </w:pPr>
    </w:p>
    <w:p w:rsidR="00D61D35" w:rsidRPr="007869AA" w:rsidRDefault="00D61D35" w:rsidP="00D61D35">
      <w:pPr>
        <w:pStyle w:val="Heading2"/>
        <w:ind w:left="720" w:hanging="360"/>
      </w:pPr>
      <w:r>
        <w:t>Funzionalità di Gestione Pacchetti</w:t>
      </w:r>
      <w:r>
        <w:rPr>
          <w:b w:val="0"/>
        </w:rPr>
        <w:t>. Il software include funzionalità di gestione pacchetti, quali NuGet, che consentono al licenziatario di scaricare altri pacchetti di Microsoft e di terzi da utilizzare con l’</w:t>
      </w:r>
      <w:r>
        <w:rPr>
          <w:b w:val="0"/>
          <w:bCs w:val="0"/>
        </w:rPr>
        <w:t xml:space="preserve">applicazione. Tali pacchetti sono disciplinati da licenze proprie, non dal presente </w:t>
      </w:r>
      <w:r>
        <w:rPr>
          <w:b w:val="0"/>
        </w:rPr>
        <w:t>contratto. Microsoft non distribuisce pacchetti di terzi né concede in licenza o fornisce alcuna garanzia al licenziatario in merito ad alcuno di tali pacchetti.</w:t>
      </w:r>
    </w:p>
    <w:p w:rsidR="00D61D35" w:rsidRPr="007869AA" w:rsidRDefault="00D61D35" w:rsidP="00D61D35">
      <w:pPr>
        <w:pStyle w:val="Heading1"/>
        <w:ind w:left="360" w:hanging="360"/>
      </w:pPr>
      <w:r>
        <w:t>CODICE DISTRIBUIBILE.</w:t>
      </w:r>
      <w:r>
        <w:rPr>
          <w:b w:val="0"/>
        </w:rPr>
        <w:t xml:space="preserve"> Il software contiene codice che il licenziatario potrà distribuire nelle applicazioni che svilupperà in base a quanto descritto nel presente Articolo. (Ai fini dell’interpretazione del presente Articolo il termine “distribuzione” indica anche la distribuzione delle applicazioni del licenziatario a terzi con accesso tramite Internet).</w:t>
      </w:r>
    </w:p>
    <w:p w:rsidR="00D61D35" w:rsidRPr="007869AA" w:rsidRDefault="00EC19AA" w:rsidP="00D61D35">
      <w:pPr>
        <w:pStyle w:val="Heading2"/>
        <w:ind w:left="720" w:hanging="360"/>
      </w:pPr>
      <w:r>
        <w:t>Diritto di Utilizzo e Distribuzione.</w:t>
      </w:r>
      <w:r>
        <w:rPr>
          <w:b w:val="0"/>
        </w:rPr>
        <w:t xml:space="preserve"> Il codice e gli altri file elencati di seguito costituiscono il “Codice Distribuibile”.</w:t>
      </w:r>
    </w:p>
    <w:p w:rsidR="00D61D35" w:rsidRPr="007869AA" w:rsidRDefault="00D61D35" w:rsidP="00D61D35">
      <w:pPr>
        <w:pStyle w:val="Bullet4"/>
      </w:pPr>
      <w:r>
        <w:rPr>
          <w:u w:val="single"/>
        </w:rPr>
        <w:t>File REDIST.TXT</w:t>
      </w:r>
      <w:r>
        <w:t xml:space="preserve">. Il licenziatario potrà duplicare e distribuire il formato in codice oggetto del codice riportato nell’elenco REDIST disponibile all’indirizzo </w:t>
      </w:r>
      <w:hyperlink r:id="rId13" w:history="1">
        <w:r>
          <w:rPr>
            <w:rStyle w:val="Hyperlink"/>
          </w:rPr>
          <w:t>https://go.microsoft.com/fwlink/?LinkId=823098</w:t>
        </w:r>
      </w:hyperlink>
      <w:r>
        <w:t xml:space="preserve">. </w:t>
      </w:r>
    </w:p>
    <w:p w:rsidR="00D61D35" w:rsidRPr="007869AA" w:rsidRDefault="00D61D35" w:rsidP="00D61D35">
      <w:pPr>
        <w:pStyle w:val="Bullet4"/>
      </w:pPr>
      <w:r>
        <w:rPr>
          <w:u w:val="single"/>
        </w:rPr>
        <w:t>Codice Campione, Modelli e Stili</w:t>
      </w:r>
      <w:r>
        <w:t>. Il licenziatario potrà duplicare, modificare e distribuire il formato in codice sorgente e in codice oggetto del codice identificato come “campione”, “modello”, “stili semplici” o “stili schizzo”.</w:t>
      </w:r>
    </w:p>
    <w:p w:rsidR="00D61D35" w:rsidRPr="007869AA" w:rsidRDefault="00D61D35" w:rsidP="00D61D35">
      <w:pPr>
        <w:pStyle w:val="Bullet4"/>
      </w:pPr>
      <w:r>
        <w:rPr>
          <w:u w:val="single"/>
        </w:rPr>
        <w:t>Image Library</w:t>
      </w:r>
      <w:r>
        <w:t>. Il licenziatario potrà duplicare e distribuire immagini, grafica e animazioni di Image Library secondo le modalità descritte nella documentazione del software.</w:t>
      </w:r>
    </w:p>
    <w:p w:rsidR="00D61D35" w:rsidRPr="007869AA" w:rsidRDefault="009B4A6B" w:rsidP="00D61D35">
      <w:pPr>
        <w:pStyle w:val="Bullet4"/>
      </w:pPr>
      <w:r>
        <w:rPr>
          <w:u w:val="single"/>
        </w:rPr>
        <w:lastRenderedPageBreak/>
        <w:t>Distribuzione da parte di Terzi</w:t>
      </w:r>
      <w:r>
        <w:t>. Il licenziatario potrà autorizzare i distributori delle sue applicazioni a duplicare e distribuire il Codice Distribuibile insieme a tali applicazioni.</w:t>
      </w:r>
    </w:p>
    <w:p w:rsidR="00D61D35" w:rsidRPr="007869AA" w:rsidRDefault="00D61D35" w:rsidP="00D61D35">
      <w:pPr>
        <w:pStyle w:val="Heading2"/>
        <w:ind w:left="720" w:hanging="360"/>
      </w:pPr>
      <w:r>
        <w:t xml:space="preserve">Requisiti per la Distribuzione. </w:t>
      </w:r>
      <w:r>
        <w:rPr>
          <w:b w:val="0"/>
        </w:rPr>
        <w:t>Per distribuire il Codice Distribuibile, il licenziatario dovrà:</w:t>
      </w:r>
    </w:p>
    <w:p w:rsidR="00D61D35" w:rsidRPr="007869AA" w:rsidRDefault="00D61D35" w:rsidP="00517446">
      <w:pPr>
        <w:pStyle w:val="Bullet4"/>
      </w:pPr>
      <w:r>
        <w:t>aggiungervi rilevanti e significative funzionalità nelle applicazioni; e</w:t>
      </w:r>
    </w:p>
    <w:p w:rsidR="00D61D35" w:rsidRPr="00103DCB" w:rsidRDefault="00D61D35" w:rsidP="00D61D35">
      <w:pPr>
        <w:pStyle w:val="Bullet4"/>
      </w:pPr>
      <w:r>
        <w:t>far accettare ai distributori e agli utenti finali esterni un contratto con condizioni che garantiscano almeno lo stesso livello di tutela del Codice Distribuibile definito nel presente contratto.</w:t>
      </w:r>
    </w:p>
    <w:p w:rsidR="00D61D35" w:rsidRPr="00103DCB" w:rsidRDefault="00D61D35" w:rsidP="00D61D35">
      <w:pPr>
        <w:pStyle w:val="Heading2"/>
        <w:ind w:left="720" w:hanging="360"/>
      </w:pPr>
      <w:r>
        <w:t>Restrizioni per la Distribuzione.</w:t>
      </w:r>
      <w:r>
        <w:rPr>
          <w:b w:val="0"/>
        </w:rPr>
        <w:t xml:space="preserve"> L’utente non potrà:</w:t>
      </w:r>
    </w:p>
    <w:p w:rsidR="00D61D35" w:rsidRPr="007869AA" w:rsidRDefault="00D61D35" w:rsidP="00D61D35">
      <w:pPr>
        <w:pStyle w:val="Bullet4"/>
      </w:pPr>
      <w:r>
        <w:t>utilizzare i marchi di Microsoft nei nomi delle proprie applicazioni o in modo tale da suggerire che tali applicazioni provengano o siano approvate da Microsoft né</w:t>
      </w:r>
    </w:p>
    <w:p w:rsidR="00D61D35" w:rsidRPr="007869AA" w:rsidRDefault="00D61D35" w:rsidP="00D61D35">
      <w:pPr>
        <w:pStyle w:val="Bullet4"/>
      </w:pPr>
      <w:r>
        <w:t>modificare o distribuire il codice sorgente di qualsiasi Codice Distribuibile in modo che qualsiasi parte di tale codice sia soggetta a una Licenza Esclusa. Una “Licenza Esclusa” è una licenza che richiede, come condizione per l’utilizzo, la modifica o la distribuzione di codice, che (i) questo sia divulgato o distribuito nel formato in codice sorgente o (ii) altri soggetti abbiano il diritto di modificarlo.</w:t>
      </w:r>
    </w:p>
    <w:p w:rsidR="00495061" w:rsidRPr="00495061" w:rsidRDefault="00D61D35" w:rsidP="007F18B2">
      <w:pPr>
        <w:pStyle w:val="Heading1"/>
        <w:ind w:left="360" w:hanging="360"/>
        <w:rPr>
          <w:rFonts w:eastAsia="SimSun"/>
        </w:rPr>
      </w:pPr>
      <w:r>
        <w:t>DATI.</w:t>
      </w:r>
      <w:r>
        <w:rPr>
          <w:b w:val="0"/>
        </w:rPr>
        <w:t xml:space="preserve">  </w:t>
      </w:r>
    </w:p>
    <w:p w:rsidR="00D61D35" w:rsidRPr="00495061" w:rsidRDefault="00495061" w:rsidP="00495061">
      <w:pPr>
        <w:pStyle w:val="Heading2"/>
        <w:ind w:left="720" w:hanging="360"/>
        <w:rPr>
          <w:b w:val="0"/>
        </w:rPr>
      </w:pPr>
      <w:r>
        <w:t xml:space="preserve">Raccolta dei dati. </w:t>
      </w:r>
      <w:r>
        <w:rPr>
          <w:b w:val="0"/>
        </w:rPr>
        <w:t>Il software potrà raccogliere dati sul licenziatario e su come utilizza il software e inviarli a Microsoft. Microsoft potrà utilizzarle per erogare i servizi e migliorare i prodotti e i servizi offerti. Il licenziatario potrà rifiutarsi esplicitamente di fornire tali informazioni, ma non tutte, come descritto nella documentazione del prodotto.  Nel software sono disponibili anche a</w:t>
      </w:r>
      <w:r>
        <w:rPr>
          <w:b w:val="0"/>
          <w:color w:val="000000"/>
        </w:rPr>
        <w:t>lcune funzionalità che potranno consentire al licenziatario e a Microsoft di raccogliere dati degli utenti delle applicazioni</w:t>
      </w:r>
      <w:r>
        <w:rPr>
          <w:b w:val="0"/>
        </w:rPr>
        <w:t xml:space="preserve">. Qualora il licenziatario utilizzi queste funzionalità, dovrà conformarsi alla legge applicabile, che prevede tra l’altro che agli utenti delle applicazioni vengano fornite comunicazioni appropriate e una copia dell’informativa sulla privacy di Microsoft. L’informativa sulla privacy di Microsoft è disponibile all’indirizzo </w:t>
      </w:r>
      <w:hyperlink r:id="rId14" w:history="1">
        <w:r>
          <w:rPr>
            <w:rStyle w:val="Hyperlink"/>
            <w:b w:val="0"/>
            <w:sz w:val="20"/>
            <w:szCs w:val="20"/>
          </w:rPr>
          <w:t>https://go.microsoft.com/fwlink/?LinkID=824704</w:t>
        </w:r>
      </w:hyperlink>
      <w:r>
        <w:rPr>
          <w:rStyle w:val="Hyperlink"/>
          <w:b w:val="0"/>
        </w:rPr>
        <w:t xml:space="preserve">. </w:t>
      </w:r>
      <w:r>
        <w:rPr>
          <w:b w:val="0"/>
        </w:rPr>
        <w:t>Ulteriori informazioni sulla raccolta e il trattamento dei dati sono disponibili nella documentazione di supporto e nell’informativa sulla privacy di Microsoft. L’utilizzo del software da parte del licenziatario costituisce accettazione implicita di tali criteri.</w:t>
      </w:r>
    </w:p>
    <w:p w:rsidR="00495061" w:rsidRPr="007F18B2" w:rsidRDefault="00495061" w:rsidP="00495061">
      <w:pPr>
        <w:pStyle w:val="Heading2"/>
        <w:ind w:left="720" w:hanging="360"/>
        <w:rPr>
          <w:rFonts w:eastAsia="SimSun"/>
        </w:rPr>
      </w:pPr>
      <w:r>
        <w:t xml:space="preserve">Trattamento dei Dati Personali. </w:t>
      </w:r>
      <w:r>
        <w:rPr>
          <w:b w:val="0"/>
        </w:rPr>
        <w:t>Qualora Microsoft abbia la funzione di elaboratore principale o secondario dei dati personali relativi al software, farà sì che gli impegni nei confronti di tutte le società riportati nelle Condizioni del Regolamento Europeo per la Protezione dei Dati Personali delleCondizioni per l’Utilizzo dei Servizi Online entrino in vigore il 25 maggio 2018 (</w:t>
      </w:r>
      <w:hyperlink r:id="rId15" w:history="1">
        <w:r>
          <w:rPr>
            <w:rStyle w:val="Hyperlink"/>
            <w:b w:val="0"/>
          </w:rPr>
          <w:t>http://go.microsoft.com/?linkid=9840733</w:t>
        </w:r>
      </w:hyperlink>
      <w:r>
        <w:rPr>
          <w:b w:val="0"/>
        </w:rPr>
        <w:t>).</w:t>
      </w:r>
    </w:p>
    <w:p w:rsidR="00D61D35" w:rsidRPr="007869AA" w:rsidRDefault="00D61D35" w:rsidP="00D61D35">
      <w:pPr>
        <w:pStyle w:val="Heading1"/>
        <w:ind w:left="360" w:hanging="360"/>
      </w:pPr>
      <w:r>
        <w:t xml:space="preserve">AMBITO DI VALIDITÀ DELLA LICENZA. </w:t>
      </w:r>
      <w:r>
        <w:rPr>
          <w:b w:val="0"/>
        </w:rPr>
        <w:t>Il software non viene venduto, ma è concesso in licenza. Il presente contratto concede al licenziatario solo alcuni diritti di utilizzo del software. Microsoft si riserva tutti gli altri diritti. Nel limite massimo consentito dalla legge applicabile il licenziatario potrà utilizzare il software esclusivamente nei modi espressamente concessi nel presente contratto. Nel far ciò, il contraente dovrà attenersi a qualsiasi limitazione tecnica presente nel software che gli consenta di utilizzarlo solo in determinati modi. L’utente non potrà:</w:t>
      </w:r>
    </w:p>
    <w:p w:rsidR="00D61D35" w:rsidRPr="007869AA" w:rsidRDefault="00D61D35" w:rsidP="00D61D35">
      <w:pPr>
        <w:pStyle w:val="Bullet4"/>
      </w:pPr>
      <w:r>
        <w:t>aggirare le limitazioni tecniche presenti nel software;</w:t>
      </w:r>
    </w:p>
    <w:p w:rsidR="00D61D35" w:rsidRPr="007869AA" w:rsidRDefault="00D61D35" w:rsidP="00D61D35">
      <w:pPr>
        <w:pStyle w:val="Bullet4"/>
        <w:rPr>
          <w:rFonts w:eastAsia="SimSun"/>
        </w:rPr>
      </w:pPr>
      <w:r>
        <w:t>decompilare o disassemblare il software né in altro modo tentare di derivare il codice sorgente del software, fatta eccezione e solo per i casi previsti da condizioni di licenza di terzi che disciplinano l’utilizzo di alcuni componenti open source che potrebbero essere inclusi nel software;</w:t>
      </w:r>
    </w:p>
    <w:p w:rsidR="00D61D35" w:rsidRPr="007869AA" w:rsidRDefault="00D61D35" w:rsidP="00D61D35">
      <w:pPr>
        <w:pStyle w:val="Bullet4"/>
      </w:pPr>
      <w:r>
        <w:t>rimuovere, ridurre al minimo, bloccare o modificare alcuna comunicazione di Microsoft o dei suoi fornitori relativamente al software;</w:t>
      </w:r>
    </w:p>
    <w:p w:rsidR="00D61D35" w:rsidRPr="007869AA" w:rsidRDefault="00D61D35" w:rsidP="00D61D35">
      <w:pPr>
        <w:pStyle w:val="Bullet4"/>
      </w:pPr>
      <w:r>
        <w:t>utilizzare il software in contrasto con la legge o</w:t>
      </w:r>
    </w:p>
    <w:p w:rsidR="00D61D35" w:rsidRPr="007869AA" w:rsidRDefault="00D61D35" w:rsidP="00D61D35">
      <w:pPr>
        <w:pStyle w:val="Bullet4"/>
      </w:pPr>
      <w:r>
        <w:t>condividere, pubblicare, noleggiare, concedere in locazione il software oppure fornirlo come soluzione autonoma utilizzabile da terzi né trasferire il software o il presente contratto a terzi.</w:t>
      </w:r>
    </w:p>
    <w:p w:rsidR="00D61D35" w:rsidRPr="007869AA" w:rsidRDefault="00A61640" w:rsidP="00D61D35">
      <w:pPr>
        <w:pStyle w:val="Heading1"/>
        <w:ind w:left="360" w:hanging="360"/>
        <w:rPr>
          <w:u w:val="single"/>
        </w:rPr>
      </w:pPr>
      <w:r>
        <w:t xml:space="preserve">SUPPORTO. </w:t>
      </w:r>
      <w:hyperlink r:id="rId16" w:history="1">
        <w:r>
          <w:rPr>
            <w:b w:val="0"/>
          </w:rPr>
          <w:t>Poiché</w:t>
        </w:r>
      </w:hyperlink>
      <w:r>
        <w:rPr>
          <w:b w:val="0"/>
        </w:rPr>
        <w:t xml:space="preserve"> il software viene fornito “com’è”, non è prevista l’erogazione di servizi di supporto tecnico da parte di Microsoft.</w:t>
      </w:r>
    </w:p>
    <w:p w:rsidR="00D61D35" w:rsidRPr="007869AA" w:rsidRDefault="00D61D35" w:rsidP="00D61D35">
      <w:pPr>
        <w:pStyle w:val="Heading1"/>
        <w:ind w:left="360" w:hanging="360"/>
      </w:pPr>
      <w:r>
        <w:t xml:space="preserve">INTERO ACCORDO. </w:t>
      </w:r>
      <w:r>
        <w:rPr>
          <w:b w:val="0"/>
        </w:rPr>
        <w:t>Il presente contratto e le condizioni che disciplinano l'utilizzo dei supplementi, degli aggiornamenti, dei servizi basati su Internet e dei servizi di supporto tecnico utilizzati dal licenziatario costituiscono l'intero accordo relativo al software ed ai servizi di supporto tecnico.</w:t>
      </w:r>
    </w:p>
    <w:p w:rsidR="00B51307" w:rsidRPr="003E7583" w:rsidRDefault="00B51307" w:rsidP="00B51307">
      <w:pPr>
        <w:pStyle w:val="Heading1"/>
        <w:ind w:left="360" w:hanging="360"/>
        <w:rPr>
          <w:rStyle w:val="Hyperlink"/>
          <w:rFonts w:cs="Tahoma"/>
          <w:b w:val="0"/>
          <w:color w:val="auto"/>
          <w:u w:val="none"/>
        </w:rPr>
      </w:pPr>
      <w:r>
        <w:t xml:space="preserve">RESTRIZIONI ALL'ESPORTAZIONE.  </w:t>
      </w:r>
      <w:r>
        <w:rPr>
          <w:b w:val="0"/>
        </w:rPr>
        <w:t xml:space="preserve">Il licenziatario dovrà anche conformarsi a tutte le leggi e a tutti i regolamenti locali e internazionali applicabili al software in materia di controllo delle esportazioni, che includono limitazioni su destinazioni, utenti finali e utilizzo finale. Per ulteriori informazioni sulle limitazioni all’esportazione, il licenziatario potrà visitare la pagina </w:t>
      </w:r>
      <w:hyperlink r:id="rId17" w:history="1">
        <w:r>
          <w:rPr>
            <w:rStyle w:val="Hyperlink"/>
            <w:b w:val="0"/>
          </w:rPr>
          <w:t>www.microsoft.com/exporting</w:t>
        </w:r>
      </w:hyperlink>
      <w:r>
        <w:rPr>
          <w:rStyle w:val="Hyperlink"/>
          <w:b w:val="0"/>
        </w:rPr>
        <w:t>.</w:t>
      </w:r>
    </w:p>
    <w:p w:rsidR="00D61D35" w:rsidRPr="000E0F9C" w:rsidRDefault="00D61D35" w:rsidP="00D61D35">
      <w:pPr>
        <w:pStyle w:val="Heading1"/>
        <w:ind w:left="360" w:hanging="360"/>
      </w:pPr>
      <w:r>
        <w:t xml:space="preserve">LEGGE APPLICABILE. </w:t>
      </w:r>
      <w:r>
        <w:rPr>
          <w:b w:val="0"/>
        </w:rPr>
        <w:t>Qualora il software sia stato acquistato negli Stati Uniti, il presente contratto è interpretato in base alla legge dello Stato di Washington e tale legge si applica ai reclami aventi ad oggetto gli inadempimenti di tale contratto, mentre a tutti gli altri reclami si applicano le leggi dello Stato di residenza del licenziatario. Qualora il licenziatario abbia acquistato il software in qualsivoglia altro Paese, il presente contratto sarà disciplinato dalla legge di tale Stato.</w:t>
      </w:r>
    </w:p>
    <w:p w:rsidR="000E0F9C" w:rsidRPr="00465345" w:rsidRDefault="000E0F9C" w:rsidP="00465345">
      <w:pPr>
        <w:pStyle w:val="Heading1"/>
        <w:tabs>
          <w:tab w:val="clear" w:pos="5940"/>
          <w:tab w:val="num" w:pos="540"/>
        </w:tabs>
        <w:ind w:left="360" w:hanging="360"/>
        <w:rPr>
          <w:b w:val="0"/>
        </w:rPr>
      </w:pPr>
      <w:r>
        <w:t xml:space="preserve">DIRITTI DEI CONSUMATORI, VARIAZIONI REGIONALI. </w:t>
      </w:r>
      <w:r>
        <w:rPr>
          <w:b w:val="0"/>
        </w:rPr>
        <w:t>Il presente contratto descrive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rsidR="000E0F9C" w:rsidRPr="00465345" w:rsidRDefault="000E0F9C" w:rsidP="000E0F9C">
      <w:pPr>
        <w:pStyle w:val="Heading2"/>
        <w:numPr>
          <w:ilvl w:val="0"/>
          <w:numId w:val="10"/>
        </w:numPr>
        <w:tabs>
          <w:tab w:val="clear" w:pos="7923"/>
        </w:tabs>
        <w:rPr>
          <w:b w:val="0"/>
        </w:rPr>
      </w:pPr>
      <w:r>
        <w:t xml:space="preserve">Australia. </w:t>
      </w:r>
      <w:r>
        <w:rPr>
          <w:b w:val="0"/>
        </w:rPr>
        <w:t>Il licenziatario è soggetto alle garanzie di legge previste dalla Australian Consumer Law e nessuna disposizione contenuta nel presente contratto influisce su tali diritti.</w:t>
      </w:r>
    </w:p>
    <w:p w:rsidR="000E0F9C" w:rsidRPr="00465345" w:rsidRDefault="000E0F9C" w:rsidP="000E0F9C">
      <w:pPr>
        <w:pStyle w:val="Heading2"/>
        <w:numPr>
          <w:ilvl w:val="0"/>
          <w:numId w:val="10"/>
        </w:numPr>
        <w:tabs>
          <w:tab w:val="clear" w:pos="7923"/>
        </w:tabs>
        <w:rPr>
          <w:b w:val="0"/>
        </w:rPr>
      </w:pPr>
      <w:r>
        <w:t xml:space="preserve">Canada. </w:t>
      </w:r>
      <w:r>
        <w:rPr>
          <w:b w:val="0"/>
        </w:rPr>
        <w:t>Qualora il software sia stato acquistato in Canada, il licenziatario potrà interrompere la ricezione degli aggiornamenti disattivando la funzionalità di aggiornamento automatico, disconnettendo il dispositivo da Internet (tuttavia, nell’eventualità e quando il licenziatario si riconnetterà a Internet, il software riprenderà a controllare se sono presenti aggiornamenti e a installarli) oppure disinstallando il software. Nell’eventuale documentazione del prodotto è possibile che vi sia inoltre specificato come il licenziatario potrà disattivare gli aggiornamenti per il dispositivo o il software in uso.</w:t>
      </w:r>
    </w:p>
    <w:p w:rsidR="000E0F9C" w:rsidRPr="00465345" w:rsidRDefault="000E0F9C" w:rsidP="000E0F9C">
      <w:pPr>
        <w:pStyle w:val="Heading2"/>
        <w:numPr>
          <w:ilvl w:val="0"/>
          <w:numId w:val="10"/>
        </w:numPr>
        <w:tabs>
          <w:tab w:val="clear" w:pos="7923"/>
        </w:tabs>
        <w:rPr>
          <w:b w:val="0"/>
        </w:rPr>
      </w:pPr>
      <w:r>
        <w:t>Germania e Austria</w:t>
      </w:r>
      <w:r>
        <w:rPr>
          <w:b w:val="0"/>
        </w:rPr>
        <w:t>.</w:t>
      </w:r>
    </w:p>
    <w:p w:rsidR="000E0F9C" w:rsidRPr="00465345" w:rsidRDefault="000E0F9C" w:rsidP="000E0F9C">
      <w:pPr>
        <w:ind w:left="717"/>
      </w:pPr>
      <w:r>
        <w:rPr>
          <w:b/>
        </w:rPr>
        <w:t>(i)</w:t>
      </w:r>
      <w:r>
        <w:tab/>
      </w:r>
      <w:r>
        <w:rPr>
          <w:b/>
        </w:rPr>
        <w:t>Garanzia</w:t>
      </w:r>
      <w:r>
        <w:t>. Il software funzionerà in sostanziale conformità a quanto descritto nel relativo materiale Microsoft. Tuttavia, Microsoft non fornisce alcuna garanzia contrattuale in relazione al software.</w:t>
      </w:r>
    </w:p>
    <w:p w:rsidR="000E0F9C" w:rsidRPr="00465345" w:rsidRDefault="000E0F9C" w:rsidP="000E0F9C">
      <w:pPr>
        <w:ind w:left="717"/>
      </w:pPr>
      <w:r>
        <w:rPr>
          <w:b/>
        </w:rPr>
        <w:t>(ii)</w:t>
      </w:r>
      <w:r>
        <w:tab/>
      </w:r>
      <w:r>
        <w:rPr>
          <w:b/>
        </w:rPr>
        <w:t>Limitazione di responsabilità</w:t>
      </w:r>
      <w:r>
        <w:t>. In caso di comportamento intenzionale, colpa grave, reclami basati sulla Legge in materia di Responsabilità Prodotto, così come in caso di morte o lesioni personali, Microsoft è responsabile in conformità alla legge imperativa.</w:t>
      </w:r>
    </w:p>
    <w:p w:rsidR="003F0C02" w:rsidRPr="00465345" w:rsidRDefault="000E0F9C" w:rsidP="000E0F9C">
      <w:pPr>
        <w:pStyle w:val="Heading1"/>
        <w:numPr>
          <w:ilvl w:val="0"/>
          <w:numId w:val="0"/>
        </w:numPr>
        <w:ind w:left="717"/>
        <w:rPr>
          <w:b w:val="0"/>
        </w:rPr>
      </w:pPr>
      <w:r>
        <w:rPr>
          <w:b w:val="0"/>
        </w:rPr>
        <w:t>In riferimento a quanto detto nella clausola precedente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“obbligazioni fondamentali”). In altri casi di colpa lieve Microsoft non sarà responsabile di tale colpa.</w:t>
      </w:r>
    </w:p>
    <w:p w:rsidR="00D61D35" w:rsidRPr="007869AA" w:rsidRDefault="00D61D35" w:rsidP="00D61D35">
      <w:pPr>
        <w:pStyle w:val="Heading1"/>
        <w:ind w:left="360" w:hanging="360"/>
        <w:rPr>
          <w:caps/>
        </w:rPr>
      </w:pPr>
      <w:r>
        <w:t xml:space="preserve">ESCLUSIONE DI GARANZIE. </w:t>
      </w:r>
      <w:r>
        <w:rPr>
          <w:caps/>
        </w:rPr>
        <w:t>Il software è concesso in licenza "così com'è".  Il licenziatario si assume ogni rischio derivante dall’utilizzo del software. Non vengono fornite garanzie o condizioni esplicite. Nella misura massima consentita dalla legge locale, Microsoft esclude eventuali garanzie implicite di commerciabilità (qualità non inferiore alla media), adeguatezza per uno scopo specifico e non violazione di diritti di terzi.</w:t>
      </w:r>
    </w:p>
    <w:p w:rsidR="00D61D35" w:rsidRPr="007869AA" w:rsidRDefault="00D61D35" w:rsidP="00D61D35">
      <w:pPr>
        <w:pStyle w:val="Heading1"/>
        <w:ind w:left="360" w:hanging="360"/>
        <w:rPr>
          <w:caps/>
        </w:rPr>
      </w:pPr>
      <w:r>
        <w:rPr>
          <w:caps/>
        </w:rPr>
        <w:t>LIMITAZIONE RELATIVA AI DANNI. Il licenziatario può richiedere a Microsoft e ai suoi fornitori il solo risarcimento per i danni diretti nel limite di cinque dollari $5,00. Il licenziatario non potrà richiedere il risarcimento per eventuali altri danni, inclusi i danni consequenziali, speciali, indiretti o incidentali o relativi alla perdita di profitti.</w:t>
      </w:r>
    </w:p>
    <w:p w:rsidR="00D61D35" w:rsidRPr="007869AA" w:rsidRDefault="00D61D35" w:rsidP="00D61D35">
      <w:pPr>
        <w:pStyle w:val="Body1"/>
        <w:rPr>
          <w:rFonts w:eastAsia="SimSun"/>
        </w:rPr>
      </w:pPr>
      <w:r>
        <w:t>Questa limitazione si applica (a) a qualsiasi questione relativa al software, ai servizi, al contenuto (incluso il codice) sui siti Internet o nelle applicazioni di terzi e (b) ai reclami relativi a inadempimento contrattuale, inadempimento delle garanzie o delle condizioni, responsabilità oggettiva, negligenza o altro illecito civile nella misura massima consentita dalla legge applicabile.</w:t>
      </w:r>
    </w:p>
    <w:p w:rsidR="00D61D35" w:rsidRDefault="00D61D35" w:rsidP="00D61D35">
      <w:pPr>
        <w:pStyle w:val="Bullet4"/>
        <w:numPr>
          <w:ilvl w:val="0"/>
          <w:numId w:val="0"/>
        </w:numPr>
        <w:ind w:left="360"/>
      </w:pPr>
      <w:r>
        <w:t>Tale limitazione si applica anche nel caso in cui Microsoft era informata o avrebbe dovuto essere informata della possibilità del verificarsi di tali danni. La limitazione o l’esclusione di cui sopra potrebbe non essere applicabile al licenziatario, in quanto l’esclusione o la limitazione di danni incidentali, consequenziali o di altro tipo potrebbe non essere consentita nel Paese di residenza del licenziatario.</w:t>
      </w:r>
    </w:p>
    <w:p w:rsidR="00382CE5" w:rsidRDefault="00382CE5" w:rsidP="00D61D35">
      <w:pPr>
        <w:pStyle w:val="Bullet4"/>
        <w:numPr>
          <w:ilvl w:val="0"/>
          <w:numId w:val="0"/>
        </w:numPr>
        <w:ind w:left="360"/>
      </w:pPr>
    </w:p>
    <w:p w:rsidR="00382CE5" w:rsidRDefault="00382CE5" w:rsidP="00D61D35">
      <w:pPr>
        <w:pStyle w:val="Bullet4"/>
        <w:numPr>
          <w:ilvl w:val="0"/>
          <w:numId w:val="0"/>
        </w:numPr>
        <w:ind w:left="360"/>
      </w:pPr>
      <w:r>
        <w:t>EULA ID: VS2017_COMMUNITY_RTW.3_</w:t>
      </w:r>
      <w:r w:rsidR="00A04706">
        <w:t>ITA</w:t>
      </w:r>
      <w:bookmarkStart w:id="0" w:name="_GoBack"/>
      <w:bookmarkEnd w:id="0"/>
    </w:p>
    <w:p w:rsidR="000E0F9C" w:rsidRDefault="000E0F9C" w:rsidP="00D61D35">
      <w:pPr>
        <w:pStyle w:val="Bullet4"/>
        <w:numPr>
          <w:ilvl w:val="0"/>
          <w:numId w:val="0"/>
        </w:numPr>
        <w:ind w:left="360"/>
      </w:pPr>
    </w:p>
    <w:p w:rsidR="000E0F9C" w:rsidRPr="007869AA" w:rsidRDefault="000E0F9C" w:rsidP="00D61D35">
      <w:pPr>
        <w:pStyle w:val="Bullet4"/>
        <w:numPr>
          <w:ilvl w:val="0"/>
          <w:numId w:val="0"/>
        </w:numPr>
        <w:ind w:left="360"/>
      </w:pPr>
    </w:p>
    <w:sectPr w:rsidR="000E0F9C" w:rsidRPr="007869AA" w:rsidSect="00BA52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606" w:rsidRDefault="00893606" w:rsidP="00BB4853">
      <w:r>
        <w:separator/>
      </w:r>
    </w:p>
  </w:endnote>
  <w:endnote w:type="continuationSeparator" w:id="0">
    <w:p w:rsidR="00893606" w:rsidRDefault="00893606" w:rsidP="00BB4853">
      <w:r>
        <w:continuationSeparator/>
      </w:r>
    </w:p>
  </w:endnote>
  <w:endnote w:type="continuationNotice" w:id="1">
    <w:p w:rsidR="00893606" w:rsidRDefault="00893606" w:rsidP="00B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606" w:rsidRDefault="00893606" w:rsidP="00BB4853">
      <w:r>
        <w:separator/>
      </w:r>
    </w:p>
  </w:footnote>
  <w:footnote w:type="continuationSeparator" w:id="0">
    <w:p w:rsidR="00893606" w:rsidRDefault="00893606" w:rsidP="00BB4853">
      <w:r>
        <w:continuationSeparator/>
      </w:r>
    </w:p>
  </w:footnote>
  <w:footnote w:type="continuationNotice" w:id="1">
    <w:p w:rsidR="00893606" w:rsidRDefault="00893606" w:rsidP="00BB4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2FCCEE22">
      <w:start w:val="1"/>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813"/>
        </w:tabs>
        <w:ind w:left="81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D2B"/>
    <w:rsid w:val="000000CA"/>
    <w:rsid w:val="00001117"/>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349B2"/>
    <w:rsid w:val="00045905"/>
    <w:rsid w:val="00045C9A"/>
    <w:rsid w:val="00052198"/>
    <w:rsid w:val="00052331"/>
    <w:rsid w:val="00056DA8"/>
    <w:rsid w:val="00060D70"/>
    <w:rsid w:val="00061E89"/>
    <w:rsid w:val="00063B46"/>
    <w:rsid w:val="000660D6"/>
    <w:rsid w:val="00070E4B"/>
    <w:rsid w:val="000722DD"/>
    <w:rsid w:val="000735E0"/>
    <w:rsid w:val="000807D9"/>
    <w:rsid w:val="0008150F"/>
    <w:rsid w:val="00086C54"/>
    <w:rsid w:val="000905EF"/>
    <w:rsid w:val="00091565"/>
    <w:rsid w:val="00093E38"/>
    <w:rsid w:val="0009416F"/>
    <w:rsid w:val="000A62F1"/>
    <w:rsid w:val="000B216E"/>
    <w:rsid w:val="000B3668"/>
    <w:rsid w:val="000B49F7"/>
    <w:rsid w:val="000B56EF"/>
    <w:rsid w:val="000C02E6"/>
    <w:rsid w:val="000C46D9"/>
    <w:rsid w:val="000C49E3"/>
    <w:rsid w:val="000C5BEA"/>
    <w:rsid w:val="000C7E16"/>
    <w:rsid w:val="000D21E7"/>
    <w:rsid w:val="000D57A3"/>
    <w:rsid w:val="000D704B"/>
    <w:rsid w:val="000D7699"/>
    <w:rsid w:val="000E0F9C"/>
    <w:rsid w:val="000E14F4"/>
    <w:rsid w:val="000E2C40"/>
    <w:rsid w:val="000E6AA8"/>
    <w:rsid w:val="000F05BB"/>
    <w:rsid w:val="000F0955"/>
    <w:rsid w:val="000F0D56"/>
    <w:rsid w:val="000F1A07"/>
    <w:rsid w:val="0010256E"/>
    <w:rsid w:val="00102CA5"/>
    <w:rsid w:val="00103021"/>
    <w:rsid w:val="00103464"/>
    <w:rsid w:val="00103DCB"/>
    <w:rsid w:val="0010417B"/>
    <w:rsid w:val="00104D31"/>
    <w:rsid w:val="00106B65"/>
    <w:rsid w:val="00111754"/>
    <w:rsid w:val="001128F1"/>
    <w:rsid w:val="001140E1"/>
    <w:rsid w:val="001142D7"/>
    <w:rsid w:val="00114F90"/>
    <w:rsid w:val="0011570B"/>
    <w:rsid w:val="00121795"/>
    <w:rsid w:val="0012421A"/>
    <w:rsid w:val="00126816"/>
    <w:rsid w:val="00140DF2"/>
    <w:rsid w:val="00141C55"/>
    <w:rsid w:val="00145B56"/>
    <w:rsid w:val="001507E3"/>
    <w:rsid w:val="00151392"/>
    <w:rsid w:val="00154EE4"/>
    <w:rsid w:val="001606CE"/>
    <w:rsid w:val="00161834"/>
    <w:rsid w:val="00163DB0"/>
    <w:rsid w:val="00166064"/>
    <w:rsid w:val="00166929"/>
    <w:rsid w:val="001724EF"/>
    <w:rsid w:val="00176338"/>
    <w:rsid w:val="0018207A"/>
    <w:rsid w:val="00183AFE"/>
    <w:rsid w:val="00183C78"/>
    <w:rsid w:val="001852C8"/>
    <w:rsid w:val="00192FCE"/>
    <w:rsid w:val="00195D67"/>
    <w:rsid w:val="001A08F8"/>
    <w:rsid w:val="001A0FAD"/>
    <w:rsid w:val="001A2213"/>
    <w:rsid w:val="001B209F"/>
    <w:rsid w:val="001B3A68"/>
    <w:rsid w:val="001C02A1"/>
    <w:rsid w:val="001C13BA"/>
    <w:rsid w:val="001C1BAA"/>
    <w:rsid w:val="001C2FDB"/>
    <w:rsid w:val="001D1F68"/>
    <w:rsid w:val="001D4376"/>
    <w:rsid w:val="001D5E46"/>
    <w:rsid w:val="001D61E0"/>
    <w:rsid w:val="001F30A7"/>
    <w:rsid w:val="002017BB"/>
    <w:rsid w:val="00207E25"/>
    <w:rsid w:val="0021272C"/>
    <w:rsid w:val="0021403E"/>
    <w:rsid w:val="00217369"/>
    <w:rsid w:val="00217837"/>
    <w:rsid w:val="0022127D"/>
    <w:rsid w:val="0022191E"/>
    <w:rsid w:val="00222A25"/>
    <w:rsid w:val="00222AFC"/>
    <w:rsid w:val="002250B1"/>
    <w:rsid w:val="002302EC"/>
    <w:rsid w:val="002304AC"/>
    <w:rsid w:val="00231607"/>
    <w:rsid w:val="002317DE"/>
    <w:rsid w:val="00231F03"/>
    <w:rsid w:val="002336BA"/>
    <w:rsid w:val="00233ABE"/>
    <w:rsid w:val="00233AF8"/>
    <w:rsid w:val="00240122"/>
    <w:rsid w:val="00244BB6"/>
    <w:rsid w:val="00245370"/>
    <w:rsid w:val="00245690"/>
    <w:rsid w:val="00245A67"/>
    <w:rsid w:val="0024632C"/>
    <w:rsid w:val="00250922"/>
    <w:rsid w:val="00250FC4"/>
    <w:rsid w:val="00265CB1"/>
    <w:rsid w:val="00272EDA"/>
    <w:rsid w:val="0027300A"/>
    <w:rsid w:val="00280182"/>
    <w:rsid w:val="00280A48"/>
    <w:rsid w:val="00281D12"/>
    <w:rsid w:val="00284B6F"/>
    <w:rsid w:val="00286F02"/>
    <w:rsid w:val="002877DC"/>
    <w:rsid w:val="002917D4"/>
    <w:rsid w:val="002924F3"/>
    <w:rsid w:val="00294947"/>
    <w:rsid w:val="00294B37"/>
    <w:rsid w:val="002960F8"/>
    <w:rsid w:val="002A1BA5"/>
    <w:rsid w:val="002A3965"/>
    <w:rsid w:val="002A3EB1"/>
    <w:rsid w:val="002A48D4"/>
    <w:rsid w:val="002A494A"/>
    <w:rsid w:val="002A58C3"/>
    <w:rsid w:val="002B1A39"/>
    <w:rsid w:val="002B1C3C"/>
    <w:rsid w:val="002B5D8B"/>
    <w:rsid w:val="002B6927"/>
    <w:rsid w:val="002B7850"/>
    <w:rsid w:val="002B7AB9"/>
    <w:rsid w:val="002C3883"/>
    <w:rsid w:val="002C78CE"/>
    <w:rsid w:val="002D1A8A"/>
    <w:rsid w:val="002D6E49"/>
    <w:rsid w:val="002D7B13"/>
    <w:rsid w:val="002E2EB2"/>
    <w:rsid w:val="002E612E"/>
    <w:rsid w:val="002E672E"/>
    <w:rsid w:val="002E7CC5"/>
    <w:rsid w:val="002F052A"/>
    <w:rsid w:val="00302B7D"/>
    <w:rsid w:val="003036BF"/>
    <w:rsid w:val="00305284"/>
    <w:rsid w:val="00306CCB"/>
    <w:rsid w:val="00311700"/>
    <w:rsid w:val="00315C8C"/>
    <w:rsid w:val="003202D1"/>
    <w:rsid w:val="0032258A"/>
    <w:rsid w:val="00323240"/>
    <w:rsid w:val="00327DA8"/>
    <w:rsid w:val="00327FA9"/>
    <w:rsid w:val="00333102"/>
    <w:rsid w:val="00333313"/>
    <w:rsid w:val="00334264"/>
    <w:rsid w:val="00334578"/>
    <w:rsid w:val="003360A4"/>
    <w:rsid w:val="003375F7"/>
    <w:rsid w:val="00350057"/>
    <w:rsid w:val="00350BB3"/>
    <w:rsid w:val="00352FCD"/>
    <w:rsid w:val="003603D9"/>
    <w:rsid w:val="00361626"/>
    <w:rsid w:val="00361E26"/>
    <w:rsid w:val="00365640"/>
    <w:rsid w:val="00365A72"/>
    <w:rsid w:val="00366BFF"/>
    <w:rsid w:val="0037013B"/>
    <w:rsid w:val="00381300"/>
    <w:rsid w:val="00382A4C"/>
    <w:rsid w:val="00382CE5"/>
    <w:rsid w:val="003845AA"/>
    <w:rsid w:val="003854C2"/>
    <w:rsid w:val="003868ED"/>
    <w:rsid w:val="00390B57"/>
    <w:rsid w:val="00392C49"/>
    <w:rsid w:val="003968F5"/>
    <w:rsid w:val="003A0255"/>
    <w:rsid w:val="003A1874"/>
    <w:rsid w:val="003A2A35"/>
    <w:rsid w:val="003A3C88"/>
    <w:rsid w:val="003A4315"/>
    <w:rsid w:val="003A7AF2"/>
    <w:rsid w:val="003A7FCD"/>
    <w:rsid w:val="003B6171"/>
    <w:rsid w:val="003B6BC8"/>
    <w:rsid w:val="003C6A93"/>
    <w:rsid w:val="003C6D87"/>
    <w:rsid w:val="003D3BB9"/>
    <w:rsid w:val="003D641D"/>
    <w:rsid w:val="003D7484"/>
    <w:rsid w:val="003E48D5"/>
    <w:rsid w:val="003E5D63"/>
    <w:rsid w:val="003E7583"/>
    <w:rsid w:val="003E7B3F"/>
    <w:rsid w:val="003F0C02"/>
    <w:rsid w:val="003F2225"/>
    <w:rsid w:val="003F344D"/>
    <w:rsid w:val="003F416E"/>
    <w:rsid w:val="003F43FB"/>
    <w:rsid w:val="003F6388"/>
    <w:rsid w:val="004025A2"/>
    <w:rsid w:val="00402F79"/>
    <w:rsid w:val="004034E2"/>
    <w:rsid w:val="00404E62"/>
    <w:rsid w:val="00405CCB"/>
    <w:rsid w:val="00405EDF"/>
    <w:rsid w:val="00406BF7"/>
    <w:rsid w:val="0041336D"/>
    <w:rsid w:val="0041400D"/>
    <w:rsid w:val="004151E1"/>
    <w:rsid w:val="004157F7"/>
    <w:rsid w:val="004163D3"/>
    <w:rsid w:val="00420812"/>
    <w:rsid w:val="00423740"/>
    <w:rsid w:val="00425BF2"/>
    <w:rsid w:val="00430E5A"/>
    <w:rsid w:val="00431D2B"/>
    <w:rsid w:val="00434A33"/>
    <w:rsid w:val="00435CD7"/>
    <w:rsid w:val="0044204E"/>
    <w:rsid w:val="00442AB9"/>
    <w:rsid w:val="0044674D"/>
    <w:rsid w:val="00450BBB"/>
    <w:rsid w:val="00452E0B"/>
    <w:rsid w:val="00456CB1"/>
    <w:rsid w:val="004603E1"/>
    <w:rsid w:val="0046185D"/>
    <w:rsid w:val="00461FE2"/>
    <w:rsid w:val="0046420D"/>
    <w:rsid w:val="004643A2"/>
    <w:rsid w:val="00464F9B"/>
    <w:rsid w:val="00465345"/>
    <w:rsid w:val="00466A1C"/>
    <w:rsid w:val="00466F1B"/>
    <w:rsid w:val="00471475"/>
    <w:rsid w:val="00474A6B"/>
    <w:rsid w:val="00474F93"/>
    <w:rsid w:val="00477703"/>
    <w:rsid w:val="004859B0"/>
    <w:rsid w:val="004914ED"/>
    <w:rsid w:val="0049191F"/>
    <w:rsid w:val="00493D55"/>
    <w:rsid w:val="00495061"/>
    <w:rsid w:val="004A2CF2"/>
    <w:rsid w:val="004A4A1C"/>
    <w:rsid w:val="004A52BA"/>
    <w:rsid w:val="004A6FF6"/>
    <w:rsid w:val="004B106D"/>
    <w:rsid w:val="004B49DA"/>
    <w:rsid w:val="004B52CA"/>
    <w:rsid w:val="004B581B"/>
    <w:rsid w:val="004B5CF9"/>
    <w:rsid w:val="004B7989"/>
    <w:rsid w:val="004C11E2"/>
    <w:rsid w:val="004C2CF0"/>
    <w:rsid w:val="004C3439"/>
    <w:rsid w:val="004C56B0"/>
    <w:rsid w:val="004C68D5"/>
    <w:rsid w:val="004C7BCE"/>
    <w:rsid w:val="004D1301"/>
    <w:rsid w:val="004D27D7"/>
    <w:rsid w:val="004D2CB3"/>
    <w:rsid w:val="004D7172"/>
    <w:rsid w:val="004E098F"/>
    <w:rsid w:val="004E20FF"/>
    <w:rsid w:val="004E4344"/>
    <w:rsid w:val="004E5FE8"/>
    <w:rsid w:val="004E67D7"/>
    <w:rsid w:val="004F17CF"/>
    <w:rsid w:val="0050174A"/>
    <w:rsid w:val="00503395"/>
    <w:rsid w:val="005052A1"/>
    <w:rsid w:val="00511D22"/>
    <w:rsid w:val="005134A0"/>
    <w:rsid w:val="005154B6"/>
    <w:rsid w:val="00517446"/>
    <w:rsid w:val="0052537D"/>
    <w:rsid w:val="00525BB0"/>
    <w:rsid w:val="005317DA"/>
    <w:rsid w:val="00533FF9"/>
    <w:rsid w:val="005340EB"/>
    <w:rsid w:val="0053458A"/>
    <w:rsid w:val="00536A80"/>
    <w:rsid w:val="00537858"/>
    <w:rsid w:val="00537C1D"/>
    <w:rsid w:val="00540E5E"/>
    <w:rsid w:val="005420EA"/>
    <w:rsid w:val="005432D2"/>
    <w:rsid w:val="0054523E"/>
    <w:rsid w:val="005470F1"/>
    <w:rsid w:val="0054764C"/>
    <w:rsid w:val="005529D5"/>
    <w:rsid w:val="005540F8"/>
    <w:rsid w:val="005604D9"/>
    <w:rsid w:val="00562F56"/>
    <w:rsid w:val="00563FC1"/>
    <w:rsid w:val="005641C0"/>
    <w:rsid w:val="00564EB8"/>
    <w:rsid w:val="00565E09"/>
    <w:rsid w:val="00566254"/>
    <w:rsid w:val="005662A7"/>
    <w:rsid w:val="00566D14"/>
    <w:rsid w:val="00570A50"/>
    <w:rsid w:val="00570AC0"/>
    <w:rsid w:val="00570E2B"/>
    <w:rsid w:val="00571048"/>
    <w:rsid w:val="0057114A"/>
    <w:rsid w:val="005735CC"/>
    <w:rsid w:val="00573652"/>
    <w:rsid w:val="00576467"/>
    <w:rsid w:val="0058484E"/>
    <w:rsid w:val="0058582B"/>
    <w:rsid w:val="005A06CA"/>
    <w:rsid w:val="005A1CD1"/>
    <w:rsid w:val="005A2233"/>
    <w:rsid w:val="005A341B"/>
    <w:rsid w:val="005A4760"/>
    <w:rsid w:val="005A4DB6"/>
    <w:rsid w:val="005A552E"/>
    <w:rsid w:val="005B0021"/>
    <w:rsid w:val="005B013E"/>
    <w:rsid w:val="005B110F"/>
    <w:rsid w:val="005B112E"/>
    <w:rsid w:val="005B14BC"/>
    <w:rsid w:val="005B61C4"/>
    <w:rsid w:val="005B75E5"/>
    <w:rsid w:val="005B7EE2"/>
    <w:rsid w:val="005C1DED"/>
    <w:rsid w:val="005C7965"/>
    <w:rsid w:val="005C7CAA"/>
    <w:rsid w:val="005D00FF"/>
    <w:rsid w:val="005D1B7D"/>
    <w:rsid w:val="005D2376"/>
    <w:rsid w:val="005D4DE1"/>
    <w:rsid w:val="005D4E66"/>
    <w:rsid w:val="005D6548"/>
    <w:rsid w:val="005D7432"/>
    <w:rsid w:val="005E0725"/>
    <w:rsid w:val="005E39EB"/>
    <w:rsid w:val="005E4F24"/>
    <w:rsid w:val="005E4F3D"/>
    <w:rsid w:val="005E6C5D"/>
    <w:rsid w:val="005E75D2"/>
    <w:rsid w:val="005F0D75"/>
    <w:rsid w:val="005F22E5"/>
    <w:rsid w:val="005F439E"/>
    <w:rsid w:val="00603530"/>
    <w:rsid w:val="00603B7F"/>
    <w:rsid w:val="00606128"/>
    <w:rsid w:val="00606801"/>
    <w:rsid w:val="00610665"/>
    <w:rsid w:val="00612E7F"/>
    <w:rsid w:val="00613B37"/>
    <w:rsid w:val="00617717"/>
    <w:rsid w:val="006177D7"/>
    <w:rsid w:val="006256A6"/>
    <w:rsid w:val="00625892"/>
    <w:rsid w:val="006258B0"/>
    <w:rsid w:val="006264D7"/>
    <w:rsid w:val="00631B77"/>
    <w:rsid w:val="00631FAE"/>
    <w:rsid w:val="00632723"/>
    <w:rsid w:val="00634103"/>
    <w:rsid w:val="006353EB"/>
    <w:rsid w:val="006365B1"/>
    <w:rsid w:val="00637EBD"/>
    <w:rsid w:val="0064076D"/>
    <w:rsid w:val="00647094"/>
    <w:rsid w:val="006476E3"/>
    <w:rsid w:val="006559B4"/>
    <w:rsid w:val="006567F2"/>
    <w:rsid w:val="006610C5"/>
    <w:rsid w:val="0066216B"/>
    <w:rsid w:val="006630AB"/>
    <w:rsid w:val="0066367C"/>
    <w:rsid w:val="00663B86"/>
    <w:rsid w:val="00666203"/>
    <w:rsid w:val="00666581"/>
    <w:rsid w:val="0066666D"/>
    <w:rsid w:val="006810D2"/>
    <w:rsid w:val="00681B47"/>
    <w:rsid w:val="006821E4"/>
    <w:rsid w:val="00684304"/>
    <w:rsid w:val="006846B9"/>
    <w:rsid w:val="00685AAD"/>
    <w:rsid w:val="00687F19"/>
    <w:rsid w:val="00690189"/>
    <w:rsid w:val="00691107"/>
    <w:rsid w:val="00692B05"/>
    <w:rsid w:val="00695CD9"/>
    <w:rsid w:val="00697CA1"/>
    <w:rsid w:val="006A0244"/>
    <w:rsid w:val="006A071D"/>
    <w:rsid w:val="006A63C5"/>
    <w:rsid w:val="006B0B41"/>
    <w:rsid w:val="006B2A67"/>
    <w:rsid w:val="006B3EED"/>
    <w:rsid w:val="006C773C"/>
    <w:rsid w:val="006C79EA"/>
    <w:rsid w:val="006D1EB3"/>
    <w:rsid w:val="006D3B5F"/>
    <w:rsid w:val="006D50EC"/>
    <w:rsid w:val="006D5D69"/>
    <w:rsid w:val="006D6366"/>
    <w:rsid w:val="006E1627"/>
    <w:rsid w:val="006E2947"/>
    <w:rsid w:val="006E2FCA"/>
    <w:rsid w:val="006E39E8"/>
    <w:rsid w:val="006E48B4"/>
    <w:rsid w:val="006E6D57"/>
    <w:rsid w:val="006F142E"/>
    <w:rsid w:val="006F152E"/>
    <w:rsid w:val="006F213F"/>
    <w:rsid w:val="0070122F"/>
    <w:rsid w:val="007039E2"/>
    <w:rsid w:val="00712A20"/>
    <w:rsid w:val="00713CD6"/>
    <w:rsid w:val="0071404E"/>
    <w:rsid w:val="0072295E"/>
    <w:rsid w:val="00722A82"/>
    <w:rsid w:val="00725B4B"/>
    <w:rsid w:val="007269C5"/>
    <w:rsid w:val="007276F9"/>
    <w:rsid w:val="00733E4D"/>
    <w:rsid w:val="00734623"/>
    <w:rsid w:val="00735DA2"/>
    <w:rsid w:val="00737C7A"/>
    <w:rsid w:val="00740D51"/>
    <w:rsid w:val="00743454"/>
    <w:rsid w:val="0074608B"/>
    <w:rsid w:val="0074629F"/>
    <w:rsid w:val="007478A6"/>
    <w:rsid w:val="00765A68"/>
    <w:rsid w:val="00765D18"/>
    <w:rsid w:val="00766DD2"/>
    <w:rsid w:val="0078376B"/>
    <w:rsid w:val="007843F4"/>
    <w:rsid w:val="00784631"/>
    <w:rsid w:val="00784BE0"/>
    <w:rsid w:val="007869AA"/>
    <w:rsid w:val="007872F5"/>
    <w:rsid w:val="0078799D"/>
    <w:rsid w:val="00792D7D"/>
    <w:rsid w:val="00793F99"/>
    <w:rsid w:val="007940F3"/>
    <w:rsid w:val="007967DF"/>
    <w:rsid w:val="00796D5C"/>
    <w:rsid w:val="007973D8"/>
    <w:rsid w:val="007976D0"/>
    <w:rsid w:val="007A0F13"/>
    <w:rsid w:val="007A1751"/>
    <w:rsid w:val="007A70A2"/>
    <w:rsid w:val="007B4079"/>
    <w:rsid w:val="007B5957"/>
    <w:rsid w:val="007B61B3"/>
    <w:rsid w:val="007B6A71"/>
    <w:rsid w:val="007B6BEA"/>
    <w:rsid w:val="007C1E08"/>
    <w:rsid w:val="007C2AF5"/>
    <w:rsid w:val="007C3101"/>
    <w:rsid w:val="007C4641"/>
    <w:rsid w:val="007C4779"/>
    <w:rsid w:val="007C66CD"/>
    <w:rsid w:val="007C7BE8"/>
    <w:rsid w:val="007D598F"/>
    <w:rsid w:val="007D745D"/>
    <w:rsid w:val="007E05F9"/>
    <w:rsid w:val="007E32F2"/>
    <w:rsid w:val="007E47DE"/>
    <w:rsid w:val="007E552B"/>
    <w:rsid w:val="007E574B"/>
    <w:rsid w:val="007E58DF"/>
    <w:rsid w:val="007F18B2"/>
    <w:rsid w:val="007F2C2D"/>
    <w:rsid w:val="007F2DC5"/>
    <w:rsid w:val="007F7510"/>
    <w:rsid w:val="00804C97"/>
    <w:rsid w:val="00812EDD"/>
    <w:rsid w:val="00813DDD"/>
    <w:rsid w:val="008261E0"/>
    <w:rsid w:val="00830553"/>
    <w:rsid w:val="00832E87"/>
    <w:rsid w:val="0083580E"/>
    <w:rsid w:val="00835C0C"/>
    <w:rsid w:val="00835E78"/>
    <w:rsid w:val="0084201A"/>
    <w:rsid w:val="00843D02"/>
    <w:rsid w:val="008479B1"/>
    <w:rsid w:val="0085190F"/>
    <w:rsid w:val="00852BBE"/>
    <w:rsid w:val="008545DF"/>
    <w:rsid w:val="00862B9B"/>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3606"/>
    <w:rsid w:val="00894B37"/>
    <w:rsid w:val="008A4B37"/>
    <w:rsid w:val="008A6DEC"/>
    <w:rsid w:val="008A7CEE"/>
    <w:rsid w:val="008B0228"/>
    <w:rsid w:val="008B2EF5"/>
    <w:rsid w:val="008B35FF"/>
    <w:rsid w:val="008B4305"/>
    <w:rsid w:val="008B498E"/>
    <w:rsid w:val="008B5C5F"/>
    <w:rsid w:val="008C0761"/>
    <w:rsid w:val="008C2415"/>
    <w:rsid w:val="008C3047"/>
    <w:rsid w:val="008C33CC"/>
    <w:rsid w:val="008C55BE"/>
    <w:rsid w:val="008D0353"/>
    <w:rsid w:val="008D03E2"/>
    <w:rsid w:val="008D340D"/>
    <w:rsid w:val="008D4CD7"/>
    <w:rsid w:val="008D5438"/>
    <w:rsid w:val="008D5BAF"/>
    <w:rsid w:val="008E191D"/>
    <w:rsid w:val="008E32F6"/>
    <w:rsid w:val="008E34D4"/>
    <w:rsid w:val="008E538A"/>
    <w:rsid w:val="008F2B69"/>
    <w:rsid w:val="008F4BF3"/>
    <w:rsid w:val="008F52F1"/>
    <w:rsid w:val="0090016B"/>
    <w:rsid w:val="00906730"/>
    <w:rsid w:val="00911B0A"/>
    <w:rsid w:val="0091364C"/>
    <w:rsid w:val="00914B27"/>
    <w:rsid w:val="00915229"/>
    <w:rsid w:val="00915F28"/>
    <w:rsid w:val="00917C24"/>
    <w:rsid w:val="00920E14"/>
    <w:rsid w:val="0092325F"/>
    <w:rsid w:val="00924A5B"/>
    <w:rsid w:val="00930FB9"/>
    <w:rsid w:val="00933209"/>
    <w:rsid w:val="009340B7"/>
    <w:rsid w:val="00934E4F"/>
    <w:rsid w:val="0093566B"/>
    <w:rsid w:val="00936477"/>
    <w:rsid w:val="00940856"/>
    <w:rsid w:val="00945A59"/>
    <w:rsid w:val="0094679A"/>
    <w:rsid w:val="0095039A"/>
    <w:rsid w:val="0095060C"/>
    <w:rsid w:val="00952D17"/>
    <w:rsid w:val="0095355D"/>
    <w:rsid w:val="00955479"/>
    <w:rsid w:val="00961A17"/>
    <w:rsid w:val="009640A2"/>
    <w:rsid w:val="00966809"/>
    <w:rsid w:val="0097170A"/>
    <w:rsid w:val="0097212B"/>
    <w:rsid w:val="0097262B"/>
    <w:rsid w:val="0097287C"/>
    <w:rsid w:val="00972B8A"/>
    <w:rsid w:val="00972F3C"/>
    <w:rsid w:val="00980E7D"/>
    <w:rsid w:val="00985D06"/>
    <w:rsid w:val="009860F7"/>
    <w:rsid w:val="009911DF"/>
    <w:rsid w:val="00991D2D"/>
    <w:rsid w:val="009922C5"/>
    <w:rsid w:val="009945B2"/>
    <w:rsid w:val="00995832"/>
    <w:rsid w:val="009A3A66"/>
    <w:rsid w:val="009A64E4"/>
    <w:rsid w:val="009B0254"/>
    <w:rsid w:val="009B10EE"/>
    <w:rsid w:val="009B3761"/>
    <w:rsid w:val="009B4A6B"/>
    <w:rsid w:val="009B6007"/>
    <w:rsid w:val="009B68C7"/>
    <w:rsid w:val="009C0D66"/>
    <w:rsid w:val="009C1301"/>
    <w:rsid w:val="009C3A6D"/>
    <w:rsid w:val="009C44FD"/>
    <w:rsid w:val="009C45CA"/>
    <w:rsid w:val="009C4C96"/>
    <w:rsid w:val="009C7C6D"/>
    <w:rsid w:val="009D27EE"/>
    <w:rsid w:val="009E4DB3"/>
    <w:rsid w:val="009F034C"/>
    <w:rsid w:val="009F2991"/>
    <w:rsid w:val="009F2B74"/>
    <w:rsid w:val="009F2F2A"/>
    <w:rsid w:val="009F3B77"/>
    <w:rsid w:val="009F6F7F"/>
    <w:rsid w:val="00A00C66"/>
    <w:rsid w:val="00A02E34"/>
    <w:rsid w:val="00A04706"/>
    <w:rsid w:val="00A04B38"/>
    <w:rsid w:val="00A054BE"/>
    <w:rsid w:val="00A076AD"/>
    <w:rsid w:val="00A1202D"/>
    <w:rsid w:val="00A14A1D"/>
    <w:rsid w:val="00A205EF"/>
    <w:rsid w:val="00A23475"/>
    <w:rsid w:val="00A23E58"/>
    <w:rsid w:val="00A252B9"/>
    <w:rsid w:val="00A26271"/>
    <w:rsid w:val="00A333A7"/>
    <w:rsid w:val="00A33D7B"/>
    <w:rsid w:val="00A3635E"/>
    <w:rsid w:val="00A402A7"/>
    <w:rsid w:val="00A40433"/>
    <w:rsid w:val="00A40DDE"/>
    <w:rsid w:val="00A41B74"/>
    <w:rsid w:val="00A41C6A"/>
    <w:rsid w:val="00A41E97"/>
    <w:rsid w:val="00A42CFA"/>
    <w:rsid w:val="00A432CA"/>
    <w:rsid w:val="00A44844"/>
    <w:rsid w:val="00A469FA"/>
    <w:rsid w:val="00A47505"/>
    <w:rsid w:val="00A541E1"/>
    <w:rsid w:val="00A61640"/>
    <w:rsid w:val="00A63BD7"/>
    <w:rsid w:val="00A6559E"/>
    <w:rsid w:val="00A666D3"/>
    <w:rsid w:val="00A67EF7"/>
    <w:rsid w:val="00A704C2"/>
    <w:rsid w:val="00A71682"/>
    <w:rsid w:val="00A71E56"/>
    <w:rsid w:val="00A746FF"/>
    <w:rsid w:val="00A755F6"/>
    <w:rsid w:val="00A81D8F"/>
    <w:rsid w:val="00A824A7"/>
    <w:rsid w:val="00A85891"/>
    <w:rsid w:val="00A866D6"/>
    <w:rsid w:val="00A873E1"/>
    <w:rsid w:val="00A92065"/>
    <w:rsid w:val="00A93B6C"/>
    <w:rsid w:val="00AA0D1F"/>
    <w:rsid w:val="00AA7454"/>
    <w:rsid w:val="00AB3620"/>
    <w:rsid w:val="00AB55E8"/>
    <w:rsid w:val="00AB5AE1"/>
    <w:rsid w:val="00AB7B8A"/>
    <w:rsid w:val="00AC0A2D"/>
    <w:rsid w:val="00AC0F64"/>
    <w:rsid w:val="00AC28A1"/>
    <w:rsid w:val="00AD0AEE"/>
    <w:rsid w:val="00AD14C6"/>
    <w:rsid w:val="00AD214D"/>
    <w:rsid w:val="00AD3D45"/>
    <w:rsid w:val="00AD623E"/>
    <w:rsid w:val="00AE1B0F"/>
    <w:rsid w:val="00AE4C6E"/>
    <w:rsid w:val="00AE5943"/>
    <w:rsid w:val="00AE5E6A"/>
    <w:rsid w:val="00AE63A4"/>
    <w:rsid w:val="00AE63CB"/>
    <w:rsid w:val="00AF5CA8"/>
    <w:rsid w:val="00AF6BC3"/>
    <w:rsid w:val="00AF769C"/>
    <w:rsid w:val="00B00E42"/>
    <w:rsid w:val="00B022EE"/>
    <w:rsid w:val="00B04FFC"/>
    <w:rsid w:val="00B06337"/>
    <w:rsid w:val="00B10B64"/>
    <w:rsid w:val="00B10BED"/>
    <w:rsid w:val="00B10D0B"/>
    <w:rsid w:val="00B207E5"/>
    <w:rsid w:val="00B212A3"/>
    <w:rsid w:val="00B21DFE"/>
    <w:rsid w:val="00B238FF"/>
    <w:rsid w:val="00B23924"/>
    <w:rsid w:val="00B258CD"/>
    <w:rsid w:val="00B27D32"/>
    <w:rsid w:val="00B27F95"/>
    <w:rsid w:val="00B3206E"/>
    <w:rsid w:val="00B33BC0"/>
    <w:rsid w:val="00B33D18"/>
    <w:rsid w:val="00B34A71"/>
    <w:rsid w:val="00B35449"/>
    <w:rsid w:val="00B371C6"/>
    <w:rsid w:val="00B37D5B"/>
    <w:rsid w:val="00B41EDE"/>
    <w:rsid w:val="00B43CFA"/>
    <w:rsid w:val="00B5097D"/>
    <w:rsid w:val="00B51307"/>
    <w:rsid w:val="00B52E8A"/>
    <w:rsid w:val="00B53E93"/>
    <w:rsid w:val="00B5590D"/>
    <w:rsid w:val="00B567A8"/>
    <w:rsid w:val="00B57093"/>
    <w:rsid w:val="00B60025"/>
    <w:rsid w:val="00B60A69"/>
    <w:rsid w:val="00B66C1B"/>
    <w:rsid w:val="00B6750A"/>
    <w:rsid w:val="00B7211D"/>
    <w:rsid w:val="00B76124"/>
    <w:rsid w:val="00B804C4"/>
    <w:rsid w:val="00B80517"/>
    <w:rsid w:val="00B80E8D"/>
    <w:rsid w:val="00B82885"/>
    <w:rsid w:val="00B836EF"/>
    <w:rsid w:val="00B8535B"/>
    <w:rsid w:val="00B86577"/>
    <w:rsid w:val="00B873BB"/>
    <w:rsid w:val="00B8747B"/>
    <w:rsid w:val="00B87761"/>
    <w:rsid w:val="00B87B76"/>
    <w:rsid w:val="00B91B34"/>
    <w:rsid w:val="00B93AFD"/>
    <w:rsid w:val="00BA0368"/>
    <w:rsid w:val="00BA1D2F"/>
    <w:rsid w:val="00BA2804"/>
    <w:rsid w:val="00BA2BBD"/>
    <w:rsid w:val="00BA3978"/>
    <w:rsid w:val="00BA521B"/>
    <w:rsid w:val="00BA52B9"/>
    <w:rsid w:val="00BA6083"/>
    <w:rsid w:val="00BB1442"/>
    <w:rsid w:val="00BB3DBE"/>
    <w:rsid w:val="00BB4853"/>
    <w:rsid w:val="00BB516C"/>
    <w:rsid w:val="00BB6E17"/>
    <w:rsid w:val="00BB7C79"/>
    <w:rsid w:val="00BC1C89"/>
    <w:rsid w:val="00BC3CD9"/>
    <w:rsid w:val="00BC4184"/>
    <w:rsid w:val="00BC589A"/>
    <w:rsid w:val="00BC5E78"/>
    <w:rsid w:val="00BE09F3"/>
    <w:rsid w:val="00BE0AD5"/>
    <w:rsid w:val="00BE5E00"/>
    <w:rsid w:val="00C02BCC"/>
    <w:rsid w:val="00C03578"/>
    <w:rsid w:val="00C048A6"/>
    <w:rsid w:val="00C06C09"/>
    <w:rsid w:val="00C075B8"/>
    <w:rsid w:val="00C1376D"/>
    <w:rsid w:val="00C2022F"/>
    <w:rsid w:val="00C24064"/>
    <w:rsid w:val="00C25567"/>
    <w:rsid w:val="00C27F96"/>
    <w:rsid w:val="00C31304"/>
    <w:rsid w:val="00C357DC"/>
    <w:rsid w:val="00C422ED"/>
    <w:rsid w:val="00C46932"/>
    <w:rsid w:val="00C50B88"/>
    <w:rsid w:val="00C515B6"/>
    <w:rsid w:val="00C51CBA"/>
    <w:rsid w:val="00C53925"/>
    <w:rsid w:val="00C54793"/>
    <w:rsid w:val="00C56332"/>
    <w:rsid w:val="00C618CC"/>
    <w:rsid w:val="00C6221C"/>
    <w:rsid w:val="00C62C0B"/>
    <w:rsid w:val="00C6361B"/>
    <w:rsid w:val="00C66D80"/>
    <w:rsid w:val="00C765E2"/>
    <w:rsid w:val="00C81604"/>
    <w:rsid w:val="00C81D17"/>
    <w:rsid w:val="00C8579D"/>
    <w:rsid w:val="00C871BB"/>
    <w:rsid w:val="00C8775E"/>
    <w:rsid w:val="00C914B5"/>
    <w:rsid w:val="00C934AB"/>
    <w:rsid w:val="00CA098C"/>
    <w:rsid w:val="00CA2C5B"/>
    <w:rsid w:val="00CA4951"/>
    <w:rsid w:val="00CA780B"/>
    <w:rsid w:val="00CB13B4"/>
    <w:rsid w:val="00CB23C2"/>
    <w:rsid w:val="00CB3C21"/>
    <w:rsid w:val="00CB4503"/>
    <w:rsid w:val="00CB536F"/>
    <w:rsid w:val="00CB5C5E"/>
    <w:rsid w:val="00CB672D"/>
    <w:rsid w:val="00CB7BF2"/>
    <w:rsid w:val="00CC0D3E"/>
    <w:rsid w:val="00CC317B"/>
    <w:rsid w:val="00CC53B5"/>
    <w:rsid w:val="00CD06EF"/>
    <w:rsid w:val="00CD3924"/>
    <w:rsid w:val="00CD4F68"/>
    <w:rsid w:val="00CE1523"/>
    <w:rsid w:val="00CE430B"/>
    <w:rsid w:val="00CF11D2"/>
    <w:rsid w:val="00CF2973"/>
    <w:rsid w:val="00CF3DB6"/>
    <w:rsid w:val="00CF3FB3"/>
    <w:rsid w:val="00CF5A29"/>
    <w:rsid w:val="00CF7A89"/>
    <w:rsid w:val="00D02FEB"/>
    <w:rsid w:val="00D066CF"/>
    <w:rsid w:val="00D0700B"/>
    <w:rsid w:val="00D12EF8"/>
    <w:rsid w:val="00D13858"/>
    <w:rsid w:val="00D140E5"/>
    <w:rsid w:val="00D16B1C"/>
    <w:rsid w:val="00D170A0"/>
    <w:rsid w:val="00D17E3C"/>
    <w:rsid w:val="00D24AD8"/>
    <w:rsid w:val="00D30E56"/>
    <w:rsid w:val="00D316C6"/>
    <w:rsid w:val="00D35730"/>
    <w:rsid w:val="00D37383"/>
    <w:rsid w:val="00D40D50"/>
    <w:rsid w:val="00D40EF5"/>
    <w:rsid w:val="00D41E84"/>
    <w:rsid w:val="00D43321"/>
    <w:rsid w:val="00D47D73"/>
    <w:rsid w:val="00D575AA"/>
    <w:rsid w:val="00D61D35"/>
    <w:rsid w:val="00D63D1A"/>
    <w:rsid w:val="00D6747D"/>
    <w:rsid w:val="00D724EC"/>
    <w:rsid w:val="00D73BA3"/>
    <w:rsid w:val="00D76052"/>
    <w:rsid w:val="00D83D8B"/>
    <w:rsid w:val="00D846BD"/>
    <w:rsid w:val="00D8529C"/>
    <w:rsid w:val="00D85676"/>
    <w:rsid w:val="00D9068A"/>
    <w:rsid w:val="00D9119F"/>
    <w:rsid w:val="00D96E58"/>
    <w:rsid w:val="00DA1678"/>
    <w:rsid w:val="00DA21EC"/>
    <w:rsid w:val="00DA25AF"/>
    <w:rsid w:val="00DA7A3F"/>
    <w:rsid w:val="00DB0007"/>
    <w:rsid w:val="00DB0A5F"/>
    <w:rsid w:val="00DB2C59"/>
    <w:rsid w:val="00DB40BA"/>
    <w:rsid w:val="00DB686D"/>
    <w:rsid w:val="00DB6E05"/>
    <w:rsid w:val="00DB75E3"/>
    <w:rsid w:val="00DB7BB1"/>
    <w:rsid w:val="00DB7EA2"/>
    <w:rsid w:val="00DC0EF1"/>
    <w:rsid w:val="00DD057A"/>
    <w:rsid w:val="00DD1512"/>
    <w:rsid w:val="00DD40C4"/>
    <w:rsid w:val="00DD4D4C"/>
    <w:rsid w:val="00DD5ACC"/>
    <w:rsid w:val="00DD6CD8"/>
    <w:rsid w:val="00DD7AC4"/>
    <w:rsid w:val="00DE729B"/>
    <w:rsid w:val="00DF21EC"/>
    <w:rsid w:val="00E0094C"/>
    <w:rsid w:val="00E023E1"/>
    <w:rsid w:val="00E072E9"/>
    <w:rsid w:val="00E07846"/>
    <w:rsid w:val="00E12FF9"/>
    <w:rsid w:val="00E14A13"/>
    <w:rsid w:val="00E2332F"/>
    <w:rsid w:val="00E238E2"/>
    <w:rsid w:val="00E23E5A"/>
    <w:rsid w:val="00E24E64"/>
    <w:rsid w:val="00E26362"/>
    <w:rsid w:val="00E26487"/>
    <w:rsid w:val="00E31E14"/>
    <w:rsid w:val="00E32C33"/>
    <w:rsid w:val="00E33E07"/>
    <w:rsid w:val="00E34206"/>
    <w:rsid w:val="00E4392A"/>
    <w:rsid w:val="00E4415E"/>
    <w:rsid w:val="00E44497"/>
    <w:rsid w:val="00E449FE"/>
    <w:rsid w:val="00E50F3C"/>
    <w:rsid w:val="00E528C8"/>
    <w:rsid w:val="00E535C2"/>
    <w:rsid w:val="00E57431"/>
    <w:rsid w:val="00E6113E"/>
    <w:rsid w:val="00E635B4"/>
    <w:rsid w:val="00E639AA"/>
    <w:rsid w:val="00E72C00"/>
    <w:rsid w:val="00E72CC7"/>
    <w:rsid w:val="00E731B0"/>
    <w:rsid w:val="00E743C7"/>
    <w:rsid w:val="00E750B6"/>
    <w:rsid w:val="00E76492"/>
    <w:rsid w:val="00E76D68"/>
    <w:rsid w:val="00E80B16"/>
    <w:rsid w:val="00E80B47"/>
    <w:rsid w:val="00E8341F"/>
    <w:rsid w:val="00E854C4"/>
    <w:rsid w:val="00E86F7F"/>
    <w:rsid w:val="00E87221"/>
    <w:rsid w:val="00E90D27"/>
    <w:rsid w:val="00E929EB"/>
    <w:rsid w:val="00E933CD"/>
    <w:rsid w:val="00E945E5"/>
    <w:rsid w:val="00E95D6D"/>
    <w:rsid w:val="00E96A18"/>
    <w:rsid w:val="00EA0C67"/>
    <w:rsid w:val="00EA3A78"/>
    <w:rsid w:val="00EB0155"/>
    <w:rsid w:val="00EB0ADD"/>
    <w:rsid w:val="00EB12D4"/>
    <w:rsid w:val="00EB2DDB"/>
    <w:rsid w:val="00EB5DDB"/>
    <w:rsid w:val="00EB73DF"/>
    <w:rsid w:val="00EC19AA"/>
    <w:rsid w:val="00EC5459"/>
    <w:rsid w:val="00EC5C5F"/>
    <w:rsid w:val="00ED6E76"/>
    <w:rsid w:val="00EE2D10"/>
    <w:rsid w:val="00EE386C"/>
    <w:rsid w:val="00EE4C0B"/>
    <w:rsid w:val="00EE76B3"/>
    <w:rsid w:val="00EF174B"/>
    <w:rsid w:val="00F00FA5"/>
    <w:rsid w:val="00F02617"/>
    <w:rsid w:val="00F02F91"/>
    <w:rsid w:val="00F0311D"/>
    <w:rsid w:val="00F0354F"/>
    <w:rsid w:val="00F10EB5"/>
    <w:rsid w:val="00F116DD"/>
    <w:rsid w:val="00F11D34"/>
    <w:rsid w:val="00F156C9"/>
    <w:rsid w:val="00F22505"/>
    <w:rsid w:val="00F231B7"/>
    <w:rsid w:val="00F24FA8"/>
    <w:rsid w:val="00F257FE"/>
    <w:rsid w:val="00F261B3"/>
    <w:rsid w:val="00F272BA"/>
    <w:rsid w:val="00F30D93"/>
    <w:rsid w:val="00F3344D"/>
    <w:rsid w:val="00F3419D"/>
    <w:rsid w:val="00F350D8"/>
    <w:rsid w:val="00F37B5D"/>
    <w:rsid w:val="00F44559"/>
    <w:rsid w:val="00F4484A"/>
    <w:rsid w:val="00F46914"/>
    <w:rsid w:val="00F5109A"/>
    <w:rsid w:val="00F543E6"/>
    <w:rsid w:val="00F56C8E"/>
    <w:rsid w:val="00F57123"/>
    <w:rsid w:val="00F6014E"/>
    <w:rsid w:val="00F63100"/>
    <w:rsid w:val="00F73A2C"/>
    <w:rsid w:val="00F76785"/>
    <w:rsid w:val="00F77DC4"/>
    <w:rsid w:val="00F80AEC"/>
    <w:rsid w:val="00F82657"/>
    <w:rsid w:val="00F82827"/>
    <w:rsid w:val="00F919B5"/>
    <w:rsid w:val="00F9382F"/>
    <w:rsid w:val="00F94C3D"/>
    <w:rsid w:val="00F94F4C"/>
    <w:rsid w:val="00F95BD0"/>
    <w:rsid w:val="00FA1C1C"/>
    <w:rsid w:val="00FA2598"/>
    <w:rsid w:val="00FA25FC"/>
    <w:rsid w:val="00FA6890"/>
    <w:rsid w:val="00FA6DAC"/>
    <w:rsid w:val="00FB26A7"/>
    <w:rsid w:val="00FB2EA1"/>
    <w:rsid w:val="00FB74E0"/>
    <w:rsid w:val="00FC1988"/>
    <w:rsid w:val="00FC1EA9"/>
    <w:rsid w:val="00FC24CC"/>
    <w:rsid w:val="00FC2D68"/>
    <w:rsid w:val="00FC357F"/>
    <w:rsid w:val="00FC78A6"/>
    <w:rsid w:val="00FD188E"/>
    <w:rsid w:val="00FD33BD"/>
    <w:rsid w:val="00FD35BC"/>
    <w:rsid w:val="00FD3B23"/>
    <w:rsid w:val="00FD439D"/>
    <w:rsid w:val="00FE012E"/>
    <w:rsid w:val="00FE2229"/>
    <w:rsid w:val="00FE2A43"/>
    <w:rsid w:val="00FF1E0E"/>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607D9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tabs>
        <w:tab w:val="clear" w:pos="360"/>
        <w:tab w:val="num" w:pos="5940"/>
      </w:tabs>
      <w:ind w:left="5937"/>
      <w:outlineLvl w:val="0"/>
    </w:pPr>
    <w:rPr>
      <w:b/>
      <w:bCs/>
    </w:rPr>
  </w:style>
  <w:style w:type="paragraph" w:styleId="Heading2">
    <w:name w:val="heading 2"/>
    <w:basedOn w:val="Normal"/>
    <w:link w:val="Heading2Char"/>
    <w:uiPriority w:val="99"/>
    <w:qFormat/>
    <w:rsid w:val="00431D2B"/>
    <w:pPr>
      <w:numPr>
        <w:ilvl w:val="1"/>
        <w:numId w:val="6"/>
      </w:numPr>
      <w:tabs>
        <w:tab w:val="num" w:pos="7923"/>
      </w:tabs>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it-IT" w:eastAsia="en-US"/>
    </w:rPr>
  </w:style>
  <w:style w:type="character" w:customStyle="1" w:styleId="Body3Char">
    <w:name w:val="Body 3 Char"/>
    <w:basedOn w:val="DefaultParagraphFont"/>
    <w:uiPriority w:val="99"/>
    <w:rsid w:val="00AD0AEE"/>
    <w:rPr>
      <w:rFonts w:ascii="Tahoma" w:hAnsi="Tahoma" w:cs="Tahoma"/>
      <w:lang w:val="it-IT"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35568">
      <w:marLeft w:val="0"/>
      <w:marRight w:val="0"/>
      <w:marTop w:val="0"/>
      <w:marBottom w:val="0"/>
      <w:divBdr>
        <w:top w:val="none" w:sz="0" w:space="0" w:color="auto"/>
        <w:left w:val="none" w:sz="0" w:space="0" w:color="auto"/>
        <w:bottom w:val="none" w:sz="0" w:space="0" w:color="auto"/>
        <w:right w:val="none" w:sz="0" w:space="0" w:color="auto"/>
      </w:divBdr>
    </w:div>
    <w:div w:id="1578435569">
      <w:marLeft w:val="0"/>
      <w:marRight w:val="0"/>
      <w:marTop w:val="0"/>
      <w:marBottom w:val="0"/>
      <w:divBdr>
        <w:top w:val="none" w:sz="0" w:space="0" w:color="auto"/>
        <w:left w:val="none" w:sz="0" w:space="0" w:color="auto"/>
        <w:bottom w:val="none" w:sz="0" w:space="0" w:color="auto"/>
        <w:right w:val="none" w:sz="0" w:space="0" w:color="auto"/>
      </w:divBdr>
    </w:div>
    <w:div w:id="1578435570">
      <w:marLeft w:val="0"/>
      <w:marRight w:val="0"/>
      <w:marTop w:val="0"/>
      <w:marBottom w:val="0"/>
      <w:divBdr>
        <w:top w:val="none" w:sz="0" w:space="0" w:color="auto"/>
        <w:left w:val="none" w:sz="0" w:space="0" w:color="auto"/>
        <w:bottom w:val="none" w:sz="0" w:space="0" w:color="auto"/>
        <w:right w:val="none" w:sz="0" w:space="0" w:color="auto"/>
      </w:divBdr>
    </w:div>
    <w:div w:id="1578435571">
      <w:marLeft w:val="0"/>
      <w:marRight w:val="0"/>
      <w:marTop w:val="0"/>
      <w:marBottom w:val="0"/>
      <w:divBdr>
        <w:top w:val="none" w:sz="0" w:space="0" w:color="auto"/>
        <w:left w:val="none" w:sz="0" w:space="0" w:color="auto"/>
        <w:bottom w:val="none" w:sz="0" w:space="0" w:color="auto"/>
        <w:right w:val="none" w:sz="0" w:space="0" w:color="auto"/>
      </w:divBdr>
    </w:div>
    <w:div w:id="1578435572">
      <w:marLeft w:val="0"/>
      <w:marRight w:val="0"/>
      <w:marTop w:val="0"/>
      <w:marBottom w:val="0"/>
      <w:divBdr>
        <w:top w:val="none" w:sz="0" w:space="0" w:color="auto"/>
        <w:left w:val="none" w:sz="0" w:space="0" w:color="auto"/>
        <w:bottom w:val="none" w:sz="0" w:space="0" w:color="auto"/>
        <w:right w:val="none" w:sz="0" w:space="0" w:color="auto"/>
      </w:divBdr>
    </w:div>
    <w:div w:id="1578435573">
      <w:marLeft w:val="0"/>
      <w:marRight w:val="0"/>
      <w:marTop w:val="0"/>
      <w:marBottom w:val="0"/>
      <w:divBdr>
        <w:top w:val="none" w:sz="0" w:space="0" w:color="auto"/>
        <w:left w:val="none" w:sz="0" w:space="0" w:color="auto"/>
        <w:bottom w:val="none" w:sz="0" w:space="0" w:color="auto"/>
        <w:right w:val="none" w:sz="0" w:space="0" w:color="auto"/>
      </w:divBdr>
    </w:div>
    <w:div w:id="1578435574">
      <w:marLeft w:val="0"/>
      <w:marRight w:val="0"/>
      <w:marTop w:val="0"/>
      <w:marBottom w:val="0"/>
      <w:divBdr>
        <w:top w:val="none" w:sz="0" w:space="0" w:color="auto"/>
        <w:left w:val="none" w:sz="0" w:space="0" w:color="auto"/>
        <w:bottom w:val="none" w:sz="0" w:space="0" w:color="auto"/>
        <w:right w:val="none" w:sz="0" w:space="0" w:color="auto"/>
      </w:divBdr>
    </w:div>
    <w:div w:id="1578435575">
      <w:marLeft w:val="0"/>
      <w:marRight w:val="0"/>
      <w:marTop w:val="0"/>
      <w:marBottom w:val="0"/>
      <w:divBdr>
        <w:top w:val="none" w:sz="0" w:space="0" w:color="auto"/>
        <w:left w:val="none" w:sz="0" w:space="0" w:color="auto"/>
        <w:bottom w:val="none" w:sz="0" w:space="0" w:color="auto"/>
        <w:right w:val="none" w:sz="0" w:space="0" w:color="auto"/>
      </w:divBdr>
    </w:div>
    <w:div w:id="1578435576">
      <w:marLeft w:val="0"/>
      <w:marRight w:val="0"/>
      <w:marTop w:val="0"/>
      <w:marBottom w:val="0"/>
      <w:divBdr>
        <w:top w:val="none" w:sz="0" w:space="0" w:color="auto"/>
        <w:left w:val="none" w:sz="0" w:space="0" w:color="auto"/>
        <w:bottom w:val="none" w:sz="0" w:space="0" w:color="auto"/>
        <w:right w:val="none" w:sz="0" w:space="0" w:color="auto"/>
      </w:divBdr>
    </w:div>
    <w:div w:id="1578435579">
      <w:marLeft w:val="0"/>
      <w:marRight w:val="0"/>
      <w:marTop w:val="0"/>
      <w:marBottom w:val="0"/>
      <w:divBdr>
        <w:top w:val="none" w:sz="0" w:space="0" w:color="auto"/>
        <w:left w:val="none" w:sz="0" w:space="0" w:color="auto"/>
        <w:bottom w:val="none" w:sz="0" w:space="0" w:color="auto"/>
        <w:right w:val="none" w:sz="0" w:space="0" w:color="auto"/>
      </w:divBdr>
    </w:div>
    <w:div w:id="1578435581">
      <w:marLeft w:val="0"/>
      <w:marRight w:val="0"/>
      <w:marTop w:val="0"/>
      <w:marBottom w:val="0"/>
      <w:divBdr>
        <w:top w:val="none" w:sz="0" w:space="0" w:color="auto"/>
        <w:left w:val="none" w:sz="0" w:space="0" w:color="auto"/>
        <w:bottom w:val="none" w:sz="0" w:space="0" w:color="auto"/>
        <w:right w:val="none" w:sz="0" w:space="0" w:color="auto"/>
      </w:divBdr>
      <w:divsChild>
        <w:div w:id="1578435577">
          <w:marLeft w:val="0"/>
          <w:marRight w:val="0"/>
          <w:marTop w:val="0"/>
          <w:marBottom w:val="0"/>
          <w:divBdr>
            <w:top w:val="none" w:sz="0" w:space="0" w:color="auto"/>
            <w:left w:val="none" w:sz="0" w:space="0" w:color="auto"/>
            <w:bottom w:val="none" w:sz="0" w:space="0" w:color="auto"/>
            <w:right w:val="none" w:sz="0" w:space="0" w:color="auto"/>
          </w:divBdr>
          <w:divsChild>
            <w:div w:id="1578435578">
              <w:marLeft w:val="0"/>
              <w:marRight w:val="0"/>
              <w:marTop w:val="0"/>
              <w:marBottom w:val="0"/>
              <w:divBdr>
                <w:top w:val="none" w:sz="0" w:space="0" w:color="auto"/>
                <w:left w:val="none" w:sz="0" w:space="0" w:color="auto"/>
                <w:bottom w:val="none" w:sz="0" w:space="0" w:color="auto"/>
                <w:right w:val="none" w:sz="0" w:space="0" w:color="auto"/>
              </w:divBdr>
              <w:divsChild>
                <w:div w:id="15784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5582">
      <w:marLeft w:val="0"/>
      <w:marRight w:val="0"/>
      <w:marTop w:val="0"/>
      <w:marBottom w:val="0"/>
      <w:divBdr>
        <w:top w:val="none" w:sz="0" w:space="0" w:color="auto"/>
        <w:left w:val="none" w:sz="0" w:space="0" w:color="auto"/>
        <w:bottom w:val="none" w:sz="0" w:space="0" w:color="auto"/>
        <w:right w:val="none" w:sz="0" w:space="0" w:color="auto"/>
      </w:divBdr>
    </w:div>
    <w:div w:id="1578435583">
      <w:marLeft w:val="0"/>
      <w:marRight w:val="0"/>
      <w:marTop w:val="0"/>
      <w:marBottom w:val="0"/>
      <w:divBdr>
        <w:top w:val="none" w:sz="0" w:space="0" w:color="auto"/>
        <w:left w:val="none" w:sz="0" w:space="0" w:color="auto"/>
        <w:bottom w:val="none" w:sz="0" w:space="0" w:color="auto"/>
        <w:right w:val="none" w:sz="0" w:space="0" w:color="auto"/>
      </w:divBdr>
    </w:div>
    <w:div w:id="1578435584">
      <w:marLeft w:val="0"/>
      <w:marRight w:val="0"/>
      <w:marTop w:val="0"/>
      <w:marBottom w:val="0"/>
      <w:divBdr>
        <w:top w:val="none" w:sz="0" w:space="0" w:color="auto"/>
        <w:left w:val="none" w:sz="0" w:space="0" w:color="auto"/>
        <w:bottom w:val="none" w:sz="0" w:space="0" w:color="auto"/>
        <w:right w:val="none" w:sz="0" w:space="0" w:color="auto"/>
      </w:divBdr>
    </w:div>
    <w:div w:id="1578435585">
      <w:marLeft w:val="0"/>
      <w:marRight w:val="0"/>
      <w:marTop w:val="0"/>
      <w:marBottom w:val="0"/>
      <w:divBdr>
        <w:top w:val="none" w:sz="0" w:space="0" w:color="auto"/>
        <w:left w:val="none" w:sz="0" w:space="0" w:color="auto"/>
        <w:bottom w:val="none" w:sz="0" w:space="0" w:color="auto"/>
        <w:right w:val="none" w:sz="0" w:space="0" w:color="auto"/>
      </w:divBdr>
    </w:div>
    <w:div w:id="1578435586">
      <w:marLeft w:val="0"/>
      <w:marRight w:val="0"/>
      <w:marTop w:val="0"/>
      <w:marBottom w:val="0"/>
      <w:divBdr>
        <w:top w:val="none" w:sz="0" w:space="0" w:color="auto"/>
        <w:left w:val="none" w:sz="0" w:space="0" w:color="auto"/>
        <w:bottom w:val="none" w:sz="0" w:space="0" w:color="auto"/>
        <w:right w:val="none" w:sz="0" w:space="0" w:color="auto"/>
      </w:divBdr>
    </w:div>
    <w:div w:id="1578435587">
      <w:marLeft w:val="0"/>
      <w:marRight w:val="0"/>
      <w:marTop w:val="0"/>
      <w:marBottom w:val="0"/>
      <w:divBdr>
        <w:top w:val="none" w:sz="0" w:space="0" w:color="auto"/>
        <w:left w:val="none" w:sz="0" w:space="0" w:color="auto"/>
        <w:bottom w:val="none" w:sz="0" w:space="0" w:color="auto"/>
        <w:right w:val="none" w:sz="0" w:space="0" w:color="auto"/>
      </w:divBdr>
    </w:div>
    <w:div w:id="1578435588">
      <w:marLeft w:val="0"/>
      <w:marRight w:val="0"/>
      <w:marTop w:val="0"/>
      <w:marBottom w:val="0"/>
      <w:divBdr>
        <w:top w:val="none" w:sz="0" w:space="0" w:color="auto"/>
        <w:left w:val="none" w:sz="0" w:space="0" w:color="auto"/>
        <w:bottom w:val="none" w:sz="0" w:space="0" w:color="auto"/>
        <w:right w:val="none" w:sz="0" w:space="0" w:color="auto"/>
      </w:divBdr>
    </w:div>
    <w:div w:id="1578435589">
      <w:marLeft w:val="0"/>
      <w:marRight w:val="0"/>
      <w:marTop w:val="0"/>
      <w:marBottom w:val="0"/>
      <w:divBdr>
        <w:top w:val="none" w:sz="0" w:space="0" w:color="auto"/>
        <w:left w:val="none" w:sz="0" w:space="0" w:color="auto"/>
        <w:bottom w:val="none" w:sz="0" w:space="0" w:color="auto"/>
        <w:right w:val="none" w:sz="0" w:space="0" w:color="auto"/>
      </w:divBdr>
    </w:div>
    <w:div w:id="1578435590">
      <w:marLeft w:val="0"/>
      <w:marRight w:val="0"/>
      <w:marTop w:val="0"/>
      <w:marBottom w:val="0"/>
      <w:divBdr>
        <w:top w:val="none" w:sz="0" w:space="0" w:color="auto"/>
        <w:left w:val="none" w:sz="0" w:space="0" w:color="auto"/>
        <w:bottom w:val="none" w:sz="0" w:space="0" w:color="auto"/>
        <w:right w:val="none" w:sz="0" w:space="0" w:color="auto"/>
      </w:divBdr>
    </w:div>
    <w:div w:id="1578435591">
      <w:marLeft w:val="0"/>
      <w:marRight w:val="0"/>
      <w:marTop w:val="0"/>
      <w:marBottom w:val="0"/>
      <w:divBdr>
        <w:top w:val="none" w:sz="0" w:space="0" w:color="auto"/>
        <w:left w:val="none" w:sz="0" w:space="0" w:color="auto"/>
        <w:bottom w:val="none" w:sz="0" w:space="0" w:color="auto"/>
        <w:right w:val="none" w:sz="0" w:space="0" w:color="auto"/>
      </w:divBdr>
    </w:div>
    <w:div w:id="1578435592">
      <w:marLeft w:val="0"/>
      <w:marRight w:val="0"/>
      <w:marTop w:val="0"/>
      <w:marBottom w:val="0"/>
      <w:divBdr>
        <w:top w:val="none" w:sz="0" w:space="0" w:color="auto"/>
        <w:left w:val="none" w:sz="0" w:space="0" w:color="auto"/>
        <w:bottom w:val="none" w:sz="0" w:space="0" w:color="auto"/>
        <w:right w:val="none" w:sz="0" w:space="0" w:color="auto"/>
      </w:divBdr>
    </w:div>
    <w:div w:id="1578435593">
      <w:marLeft w:val="0"/>
      <w:marRight w:val="0"/>
      <w:marTop w:val="0"/>
      <w:marBottom w:val="0"/>
      <w:divBdr>
        <w:top w:val="none" w:sz="0" w:space="0" w:color="auto"/>
        <w:left w:val="none" w:sz="0" w:space="0" w:color="auto"/>
        <w:bottom w:val="none" w:sz="0" w:space="0" w:color="auto"/>
        <w:right w:val="none" w:sz="0" w:space="0" w:color="auto"/>
      </w:divBdr>
    </w:div>
    <w:div w:id="1578435594">
      <w:marLeft w:val="0"/>
      <w:marRight w:val="0"/>
      <w:marTop w:val="0"/>
      <w:marBottom w:val="0"/>
      <w:divBdr>
        <w:top w:val="none" w:sz="0" w:space="0" w:color="auto"/>
        <w:left w:val="none" w:sz="0" w:space="0" w:color="auto"/>
        <w:bottom w:val="none" w:sz="0" w:space="0" w:color="auto"/>
        <w:right w:val="none" w:sz="0" w:space="0" w:color="auto"/>
      </w:divBdr>
      <w:divsChild>
        <w:div w:id="1578435596">
          <w:marLeft w:val="0"/>
          <w:marRight w:val="0"/>
          <w:marTop w:val="0"/>
          <w:marBottom w:val="0"/>
          <w:divBdr>
            <w:top w:val="none" w:sz="0" w:space="0" w:color="auto"/>
            <w:left w:val="none" w:sz="0" w:space="0" w:color="auto"/>
            <w:bottom w:val="none" w:sz="0" w:space="0" w:color="auto"/>
            <w:right w:val="none" w:sz="0" w:space="0" w:color="auto"/>
          </w:divBdr>
        </w:div>
      </w:divsChild>
    </w:div>
    <w:div w:id="1578435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82309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 TargetMode="External"/><Relationship Id="rId17" Type="http://schemas.openxmlformats.org/officeDocument/2006/relationships/hyperlink" Target="http://www.microsoft.com/exporting" TargetMode="External"/><Relationship Id="rId2" Type="http://schemas.openxmlformats.org/officeDocument/2006/relationships/customXml" Target="../customXml/item2.xml"/><Relationship Id="rId16" Type="http://schemas.openxmlformats.org/officeDocument/2006/relationships/hyperlink" Target="http://Perch&#2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5" TargetMode="External"/><Relationship Id="rId5" Type="http://schemas.openxmlformats.org/officeDocument/2006/relationships/numbering" Target="numbering.xml"/><Relationship Id="rId15" Type="http://schemas.openxmlformats.org/officeDocument/2006/relationships/hyperlink" Target="http://go.microsoft.com/?linkid=98407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microsoft.com/fwlink/?LinkID=824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35CC6EA8BD841AC740EA94DDF8D1E" ma:contentTypeVersion="4" ma:contentTypeDescription="Create a new document." ma:contentTypeScope="" ma:versionID="07b0319e555514abb4332b16b6ce2f1c">
  <xsd:schema xmlns:xsd="http://www.w3.org/2001/XMLSchema" xmlns:xs="http://www.w3.org/2001/XMLSchema" xmlns:p="http://schemas.microsoft.com/office/2006/metadata/properties" xmlns:ns2="e1b1b7f3-b10e-48cd-877c-282d356c300a" targetNamespace="http://schemas.microsoft.com/office/2006/metadata/properties" ma:root="true" ma:fieldsID="57fa9fa38a73d56a0d9d2a17f036f37b" ns2:_="">
    <xsd:import namespace="e1b1b7f3-b10e-48cd-877c-282d356c300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b7f3-b10e-48cd-877c-282d356c3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76FB-A70C-4A32-938A-F77721B88DA0}">
  <ds:schemaRef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e1b1b7f3-b10e-48cd-877c-282d356c300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7E79E9B-4465-47D6-9CFC-2DA984D0408D}">
  <ds:schemaRefs>
    <ds:schemaRef ds:uri="http://schemas.microsoft.com/sharepoint/v3/contenttype/forms"/>
  </ds:schemaRefs>
</ds:datastoreItem>
</file>

<file path=customXml/itemProps3.xml><?xml version="1.0" encoding="utf-8"?>
<ds:datastoreItem xmlns:ds="http://schemas.openxmlformats.org/officeDocument/2006/customXml" ds:itemID="{4F183F8F-087D-4215-9F54-9037DC3C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b7f3-b10e-48cd-877c-282d356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DFA80-099C-40D3-8ADE-603BF8D1498E}">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39668</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5</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2018-03-02T01:41:00Z</dcterms:created>
  <dcterms:modified xsi:type="dcterms:W3CDTF">2018-03-21T14:51:00Z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0x010100EA435CC6EA8BD841AC740EA94DDF8D1E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Ref">
    <vt:lpwstr>https://api.informationprotection.azure.com/api/72f988bf-86f1-41af-91ab-2d7cd011db47</vt:lpwstr>
  </property>
  <property fmtid="{D5CDD505-2E9C-101B-9397-08002B2CF9AE}" pid="6" name="MSIP_Label_f42aa342-8706-4288-bd11-ebb85995028c_Owner">
    <vt:lpwstr>kathan@microsoft.com</vt:lpwstr>
  </property>
  <property fmtid="{D5CDD505-2E9C-101B-9397-08002B2CF9AE}" pid="7" name="MSIP_Label_f42aa342-8706-4288-bd11-ebb85995028c_SetDate">
    <vt:lpwstr>2017-09-05T13:37:40.9096802-07:00</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