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D35" w:rsidRPr="00B212A3" w:rsidRDefault="00D61D35" w:rsidP="00D61D35">
      <w:pPr>
        <w:pStyle w:val="HeadingEULA"/>
        <w:rPr>
          <w:sz w:val="19"/>
          <w:szCs w:val="19"/>
        </w:rPr>
      </w:pPr>
      <w:r>
        <w:rPr>
          <w:sz w:val="19"/>
          <w:szCs w:val="19"/>
        </w:rPr>
        <w:t>POSTANOWIENIA LICENCYJNE DOTYCZĄCE OPROGRAMOWANIA</w:t>
      </w:r>
    </w:p>
    <w:p w:rsidR="00D61D35" w:rsidRPr="00B212A3" w:rsidRDefault="00D61D35" w:rsidP="00D61D35">
      <w:pPr>
        <w:pStyle w:val="HeadingSoftwareTitle"/>
        <w:rPr>
          <w:sz w:val="19"/>
          <w:szCs w:val="19"/>
        </w:rPr>
      </w:pPr>
      <w:r>
        <w:rPr>
          <w:sz w:val="19"/>
          <w:szCs w:val="19"/>
        </w:rPr>
        <w:t xml:space="preserve">MICROSOFT VISUAL STUDIO COMMUNITY 2017 </w:t>
      </w:r>
    </w:p>
    <w:p w:rsidR="00D61D35" w:rsidRPr="007869AA" w:rsidRDefault="00D61D35" w:rsidP="00D61D35">
      <w:r>
        <w:t>Niniejsze postanowienia licencyjne stanowią umowę między Licencjobiorcą a Microsoft Corporation (albo, w zależności od miejsca zamieszkania Licencjobiorcy, jednym z podmiotów stowarzyszonych Microsoft Corporation). Mają one zastosowanie do wskazanego powyżej oprogramowania. Niniejsze postanowienia mają również zastosowanie do wszelkich usług i aktualizacji Microsoft dla niniejszego oprogramowania, z wyjątkiem tych, którym towarzyszą inne postanowienia.</w:t>
      </w:r>
    </w:p>
    <w:p w:rsidR="00D61D35" w:rsidRPr="007869AA" w:rsidRDefault="00D61D35" w:rsidP="00D61D35">
      <w:pPr>
        <w:pStyle w:val="PreambleBorderAbove"/>
      </w:pPr>
      <w:r>
        <w:t>JEŚLI LICENCJOBIORCA PRZESTRZEGA NINIEJSZYCH POSTANOWIEŃ LICENCYJNYCH, UZYSKUJE OPISANE PONIŻEJ PRAWA.</w:t>
      </w:r>
    </w:p>
    <w:p w:rsidR="00D61D35" w:rsidRPr="007869AA" w:rsidRDefault="00D61D35" w:rsidP="00D61D35">
      <w:pPr>
        <w:pStyle w:val="Heading1"/>
        <w:ind w:left="360" w:hanging="360"/>
      </w:pPr>
      <w:r>
        <w:t>PRAWA DO INSTALACJI I UŻYWANIA.</w:t>
      </w:r>
    </w:p>
    <w:p w:rsidR="00D61D35" w:rsidRPr="007869AA" w:rsidRDefault="00D61D35" w:rsidP="000B3668">
      <w:pPr>
        <w:pStyle w:val="Heading2"/>
        <w:numPr>
          <w:ilvl w:val="1"/>
          <w:numId w:val="8"/>
        </w:numPr>
        <w:ind w:left="720" w:hanging="360"/>
      </w:pPr>
      <w:r>
        <w:t xml:space="preserve">Licencja indywidualna. </w:t>
      </w:r>
      <w:r>
        <w:rPr>
          <w:b w:val="0"/>
        </w:rPr>
        <w:t>Jeśli Licencjobiorca jest osobą prywatną tworzącą własne aplikacje na sprzedaż lub do innych celów, taki Licencjobiorca może korzystać z oprogramowania do tworzenia i testowania takich aplikacji.</w:t>
      </w:r>
    </w:p>
    <w:p w:rsidR="00D61D35" w:rsidRPr="007869AA" w:rsidRDefault="00D61D35" w:rsidP="000B3668">
      <w:pPr>
        <w:pStyle w:val="Heading2"/>
        <w:numPr>
          <w:ilvl w:val="1"/>
          <w:numId w:val="8"/>
        </w:numPr>
        <w:ind w:left="720" w:hanging="360"/>
      </w:pPr>
      <w:r>
        <w:t xml:space="preserve">Licencja organizacyjna. </w:t>
      </w:r>
      <w:r>
        <w:rPr>
          <w:b w:val="0"/>
        </w:rPr>
        <w:t>Jeśli Licencjobiorcą jest organizacja, użytkownicy wskazani przez Licencjobiorcę mogą używać oprogramowania zgodnie z poniższym opisem:</w:t>
      </w:r>
    </w:p>
    <w:p w:rsidR="00D61D35" w:rsidRDefault="00D61D35" w:rsidP="000B3668">
      <w:pPr>
        <w:pStyle w:val="ListParagraph"/>
        <w:numPr>
          <w:ilvl w:val="0"/>
          <w:numId w:val="9"/>
        </w:numPr>
        <w:spacing w:before="0" w:after="0"/>
        <w:ind w:left="1080"/>
      </w:pPr>
      <w:r>
        <w:t>Dowolna liczba użytkowników wskazanych przez Licencjobiorcę może używać oprogramowania do projektowania i testowania aplikacji wydawanych w ramach licencji na oprogramowanie open source zatwierdzonych przez organizację Open Source Initiative (OSI).</w:t>
      </w:r>
    </w:p>
    <w:p w:rsidR="0094679A" w:rsidRDefault="0094679A" w:rsidP="000B3668">
      <w:pPr>
        <w:pStyle w:val="ListParagraph"/>
        <w:numPr>
          <w:ilvl w:val="0"/>
          <w:numId w:val="9"/>
        </w:numPr>
        <w:spacing w:before="0" w:after="0"/>
        <w:ind w:left="1080"/>
      </w:pPr>
      <w:r>
        <w:t xml:space="preserve">Dowolna liczba użytkowników wskazanych przez Licencjobiorcę może wykorzystywać oprogramowanie do projektowania i testowania rozszerzeń pakietu Visual Studio. </w:t>
      </w:r>
    </w:p>
    <w:p w:rsidR="00F76785" w:rsidRPr="007869AA" w:rsidRDefault="00F76785" w:rsidP="000B3668">
      <w:pPr>
        <w:pStyle w:val="ListParagraph"/>
        <w:numPr>
          <w:ilvl w:val="0"/>
          <w:numId w:val="9"/>
        </w:numPr>
        <w:spacing w:before="0" w:after="0"/>
        <w:ind w:left="1080"/>
      </w:pPr>
      <w:r>
        <w:t>Dowolna liczba użytkowników wskazanych przez Licencjobiorcę może używać oprogramowania do projektowania i testowania sterowników dla urządzeń z systemem operacyjnym Windows.</w:t>
      </w:r>
    </w:p>
    <w:p w:rsidR="00D61D35" w:rsidRPr="007869AA" w:rsidRDefault="00D61D35" w:rsidP="000B3668">
      <w:pPr>
        <w:pStyle w:val="ListParagraph"/>
        <w:numPr>
          <w:ilvl w:val="0"/>
          <w:numId w:val="9"/>
        </w:numPr>
        <w:spacing w:before="0" w:after="0"/>
        <w:ind w:left="1080"/>
      </w:pPr>
      <w:r>
        <w:t>Dowolna liczba użytkowników wskazanych przez Licencjobiorcę może używać oprogramowania do projektowania i testowania aplikacji Licencjobiorcy w ramach szkolenia oraz kształcenia w trybie online lub stacjonarnym, a także w celu prowadzenia badań akademickich.</w:t>
      </w:r>
    </w:p>
    <w:p w:rsidR="00D61D35" w:rsidRDefault="00D61D35" w:rsidP="000B3668">
      <w:pPr>
        <w:pStyle w:val="ListParagraph"/>
        <w:numPr>
          <w:ilvl w:val="0"/>
          <w:numId w:val="9"/>
        </w:numPr>
        <w:spacing w:before="0" w:after="0"/>
        <w:ind w:left="1080"/>
      </w:pPr>
      <w:r>
        <w:t>Jeśli żadna z powyżej opisanych sytuacji nie dotyczy danego Licencjobiorcy, który nie jest przedsiębiorstwem (określonym w definicji poniżej), wtedy Licencjobiorca może wskazać maksymalnie 5 użytkowników do jednoczesnego używania oprogramowania do projektowania i testowania aplikacji Licencjobiorcy.</w:t>
      </w:r>
    </w:p>
    <w:p w:rsidR="005A06CA" w:rsidRPr="007869AA" w:rsidRDefault="005A06CA" w:rsidP="005A06CA">
      <w:pPr>
        <w:pStyle w:val="ListParagraph"/>
        <w:spacing w:before="0" w:after="0"/>
        <w:ind w:left="1080"/>
      </w:pPr>
    </w:p>
    <w:p w:rsidR="005A06CA" w:rsidRDefault="00D61D35" w:rsidP="000B3668">
      <w:pPr>
        <w:pStyle w:val="ListParagraph"/>
        <w:numPr>
          <w:ilvl w:val="0"/>
          <w:numId w:val="9"/>
        </w:numPr>
        <w:spacing w:before="0" w:after="0"/>
        <w:ind w:left="1080"/>
      </w:pPr>
      <w:r>
        <w:t xml:space="preserve">Jeśli Licencjobiorcą jest przedsiębiorstwo, wówczas pracownicy i wykonawcy zatrudnieni przez Licencjobiorcę </w:t>
      </w:r>
      <w:r>
        <w:rPr>
          <w:u w:val="single"/>
        </w:rPr>
        <w:t>nie mogą</w:t>
      </w:r>
      <w:r>
        <w:t xml:space="preserve"> używać oprogramowania w celu projektowania i testowania aplikacji Licencjobiorcy, chyba że w celach związanych z:  (i) oprogramowaniem open source; (ii) rozszerzeniami produktów Visual Studio; (iii) sterownikami dla urządzeń z systemem operacyjnym Windows oraz (iv) celami edukacyjnymi, zgodnie z odpowiednim postanowieniem powyżej. </w:t>
      </w:r>
    </w:p>
    <w:p w:rsidR="005A06CA" w:rsidRDefault="005A06CA" w:rsidP="005A06CA">
      <w:pPr>
        <w:pStyle w:val="ListParagraph"/>
        <w:spacing w:before="0" w:after="0"/>
        <w:ind w:left="1080"/>
      </w:pPr>
    </w:p>
    <w:p w:rsidR="00D61D35" w:rsidRPr="007869AA" w:rsidRDefault="00D61D35" w:rsidP="005A06CA">
      <w:pPr>
        <w:pStyle w:val="ListParagraph"/>
        <w:spacing w:before="0" w:after="0"/>
        <w:ind w:left="1440"/>
      </w:pPr>
      <w:r>
        <w:rPr>
          <w:b/>
        </w:rPr>
        <w:t>„Przedsiębiorstwo”</w:t>
      </w:r>
      <w:r>
        <w:t xml:space="preserve"> to dowolna organizacja wraz z jej podmiotami stowarzyszonymi, która łącznie ma (a) ponad 250 komputerów osobistych lub użytkowników, </w:t>
      </w:r>
      <w:r>
        <w:rPr>
          <w:u w:val="single"/>
        </w:rPr>
        <w:t>albo</w:t>
      </w:r>
      <w:r>
        <w:t xml:space="preserve"> (b) uzyskuje rocznie przychody nie mniejsze niż jeden milion dolarów amerykańskich (albo ekwiwalent tej kwoty w innej walucie). „Podmiot stowarzyszony” to podmiot, który sprawuje kontrolę (jako udziałowiec albo akcjonariusz większościowy) nad daną organizacją, jest pod kontrolą tej organizacji albo znajduje się pod wspólną kontrolą z tą organizacją.</w:t>
      </w:r>
    </w:p>
    <w:p w:rsidR="009340B7" w:rsidRDefault="009340B7" w:rsidP="000B3668">
      <w:pPr>
        <w:pStyle w:val="Heading2"/>
        <w:numPr>
          <w:ilvl w:val="1"/>
          <w:numId w:val="8"/>
        </w:numPr>
        <w:ind w:left="720" w:hanging="360"/>
      </w:pPr>
      <w:r>
        <w:t>Obciążenia.</w:t>
      </w:r>
      <w:r>
        <w:rPr>
          <w:b w:val="0"/>
          <w:bCs w:val="0"/>
        </w:rPr>
        <w:t xml:space="preserve">  Niniejsze postanowienia licencyjne mają zastosowanie do używania przez Licencjobiorcę Obciążeń udostępnionych mu w ramach oprogramowania</w:t>
      </w:r>
      <w:r>
        <w:t xml:space="preserve"> </w:t>
      </w:r>
      <w:r>
        <w:rPr>
          <w:b w:val="0"/>
        </w:rPr>
        <w:t>z wyjątkiem zakresu, w jakim Obciążenie lub składnik Obciążenia jest udostępniany na mocy innych postanowień.</w:t>
      </w:r>
    </w:p>
    <w:p w:rsidR="00420812" w:rsidRPr="00420812" w:rsidRDefault="00D61D35" w:rsidP="000B3668">
      <w:pPr>
        <w:pStyle w:val="Heading2"/>
        <w:numPr>
          <w:ilvl w:val="1"/>
          <w:numId w:val="8"/>
        </w:numPr>
        <w:ind w:left="720" w:hanging="360"/>
      </w:pPr>
      <w:r>
        <w:t xml:space="preserve">Używanie do celów demonstracyjnych. </w:t>
      </w:r>
      <w:r>
        <w:rPr>
          <w:b w:val="0"/>
        </w:rPr>
        <w:t>Dozwolone powyżej sposoby używania obejmują używanie oprogramowania w celu demonstracji aplikacji użytkownika.</w:t>
      </w:r>
    </w:p>
    <w:p w:rsidR="00D61D35" w:rsidRPr="007869AA" w:rsidRDefault="00D61D35" w:rsidP="000B3668">
      <w:pPr>
        <w:pStyle w:val="Heading2"/>
        <w:numPr>
          <w:ilvl w:val="1"/>
          <w:numId w:val="8"/>
        </w:numPr>
        <w:ind w:left="720" w:hanging="360"/>
      </w:pPr>
      <w:r>
        <w:t xml:space="preserve">Kopia zapasowa. </w:t>
      </w:r>
      <w:r>
        <w:rPr>
          <w:b w:val="0"/>
          <w:bCs w:val="0"/>
        </w:rPr>
        <w:t>Licencjobiorca może sporządzić jedną kopię zapasową oprogramowania w celu jego ponownej instalacji.</w:t>
      </w:r>
    </w:p>
    <w:p w:rsidR="00D61D35" w:rsidRPr="00BA52B9" w:rsidRDefault="00D61D35" w:rsidP="00D61D35">
      <w:pPr>
        <w:pStyle w:val="Heading1"/>
        <w:ind w:left="360" w:hanging="360"/>
      </w:pPr>
      <w:r>
        <w:lastRenderedPageBreak/>
        <w:t>POSTANOWIENIA DOTYCZĄCE POSZCZEGÓLNYCH SKŁADNIKÓW.</w:t>
      </w:r>
    </w:p>
    <w:p w:rsidR="00D61D35" w:rsidRPr="00366BFF" w:rsidRDefault="00D61D35" w:rsidP="00D61D35">
      <w:pPr>
        <w:pStyle w:val="Heading2"/>
        <w:ind w:left="720" w:hanging="360"/>
      </w:pPr>
      <w:r>
        <w:t xml:space="preserve">Narzędzia. </w:t>
      </w:r>
      <w:r>
        <w:rPr>
          <w:b w:val="0"/>
        </w:rPr>
        <w:t xml:space="preserve">Oprogramowanie zawiera składniki wymienione na liście narzędzi dostępnej pod adresem </w:t>
      </w:r>
      <w:hyperlink r:id="rId11" w:history="1">
        <w:r>
          <w:rPr>
            <w:rStyle w:val="Hyperlink"/>
            <w:b w:val="0"/>
          </w:rPr>
          <w:t>https://go.microsoft.com/fwlink/?LinkId=823095</w:t>
        </w:r>
      </w:hyperlink>
      <w:r>
        <w:rPr>
          <w:b w:val="0"/>
        </w:rPr>
        <w:t xml:space="preserve">. Licencjobiorca może dokonywać kopiowania i instalacji tych Narzędzi, o ile stanowią one część oprogramowania, na własnych urządzeniach w celu debugowania i wdrażania aplikacji oraz baz danych, które Licencjobiorca opracował przy użyciu oprogramowania. </w:t>
      </w:r>
      <w:r>
        <w:rPr>
          <w:b w:val="0"/>
          <w:bCs w:val="0"/>
        </w:rPr>
        <w:t>Należy pamiętać, że Narzędzia są przeznaczone do tymczasowego użycia i Microsoft może nie być w stanie dokonać naprawy lub aktualizacji danego Narzędzia oddzielnie od reszty oprogramowania. Ponadto niektóre Narzędzia z definicji mogą umożliwiać osobom trzecim dostęp do urządzeń, na których zostały zainstalowane. Dlatego po zakończeniu operacji debugowania lub wdrażania aplikacji i bazy danych zaleca się usunięcie wszystkich zainstalowanych narzędzi.  Microsoft nie ponosi odpowiedzialności za używanie lub uzyskiwanie przez osoby trzecie dostępu do Narzędzi zainstalowanych przez Licencjobiorcę na dowolnym urządzeniu.</w:t>
      </w:r>
    </w:p>
    <w:p w:rsidR="00D61D35" w:rsidRPr="00366BFF" w:rsidRDefault="00E731B0" w:rsidP="00D61D35">
      <w:pPr>
        <w:pStyle w:val="Heading2"/>
        <w:widowControl w:val="0"/>
        <w:ind w:left="720" w:hanging="360"/>
      </w:pPr>
      <w:r>
        <w:t xml:space="preserve">Narzędzia kompilacji.  </w:t>
      </w:r>
      <w:r>
        <w:rPr>
          <w:b w:val="0"/>
        </w:rPr>
        <w:t xml:space="preserve">Licencjobiorca może kopiować pliki z oprogramowania i instalować je na swoich urządzeniach z daną kompilacją, w tym na urządzeniach fizycznych oraz maszynach wirtualnych lub w ramach kontenerów na tych maszynach, bez względu na to, czy maszyny te są lokalne czy zdalne, o ile znajdują się one w posiadaniu Licencjobiorcy, są hostowane na platformie Azure przez Licencjobiorcę lub są przeznaczone wyłącznie do użytku Licencjobiorcy (łącznie „Urządzenia z Kompilacją”).  Licencjobiorca i inni użytkownicy w jego organizacji mogą używać </w:t>
      </w:r>
      <w:r>
        <w:rPr>
          <w:b w:val="0"/>
          <w:bCs w:val="0"/>
        </w:rPr>
        <w:t>tych plików na Urządzeniach z Kompilacją wyłącznie w celu kompilowania, tworzenia i weryfikowania aplikacji oraz uruchamiania testów jakości i wydajności tych aplikacji w ramach procesu kompilacji.  Termin „aplikacje” oznacza aplikacje opracowane przez Licencjobiorcę i innych użytkowników w jego organizacji objętych stosowną licencją na używanie oprogramowania.</w:t>
      </w:r>
      <w:r>
        <w:br/>
      </w:r>
      <w:r>
        <w:br/>
      </w:r>
    </w:p>
    <w:p w:rsidR="00D61D35" w:rsidRPr="00BA52B9" w:rsidRDefault="00D61D35" w:rsidP="00D61D35">
      <w:pPr>
        <w:pStyle w:val="Heading2"/>
        <w:ind w:left="720" w:hanging="360"/>
      </w:pPr>
      <w:r>
        <w:t xml:space="preserve">Składniki czcionek. </w:t>
      </w:r>
      <w:r>
        <w:rPr>
          <w:b w:val="0"/>
        </w:rPr>
        <w:t>Gdy oprogramowanie jest uruchomione, mogą Państwo używać czcionek tego oprogramowania do wyświetlania i drukowania zawartości. Licencjobiorca może wyłącznie (i) osadzać czcionki w zawartości, biorąc pod uwagę ograniczenia dotyczące ich osadzania; oraz (ii) tymczasowo pobierać je na drukarkę lub inne urządzenie wyjściowe, aby drukować zawartość.</w:t>
      </w:r>
    </w:p>
    <w:p w:rsidR="00D61D35" w:rsidRPr="00456CB1" w:rsidRDefault="00CB672D" w:rsidP="00D61D35">
      <w:pPr>
        <w:pStyle w:val="Heading2"/>
        <w:ind w:left="720" w:hanging="360"/>
        <w:rPr>
          <w:sz w:val="20"/>
          <w:szCs w:val="20"/>
        </w:rPr>
      </w:pPr>
      <w:r>
        <w:rPr>
          <w:sz w:val="20"/>
          <w:szCs w:val="20"/>
        </w:rPr>
        <w:t xml:space="preserve">Licencje na inne składniki. </w:t>
      </w:r>
    </w:p>
    <w:p w:rsidR="00D61D35" w:rsidRDefault="00D61D35" w:rsidP="00D61D35">
      <w:pPr>
        <w:pStyle w:val="Bullet4"/>
      </w:pPr>
      <w:r>
        <w:rPr>
          <w:b/>
        </w:rPr>
        <w:t xml:space="preserve">Platformy Microsoft. </w:t>
      </w:r>
      <w:r>
        <w:t xml:space="preserve">Oprogramowanie może zawierać składniki pochodzące z Microsoft Windows; Microsoft Windows Server; Microsoft SQL Server; Microsoft Exchange; Microsoft Office i </w:t>
      </w:r>
      <w:r>
        <w:rPr>
          <w:sz w:val="20"/>
          <w:szCs w:val="20"/>
        </w:rPr>
        <w:t>Microsoft</w:t>
      </w:r>
      <w:r>
        <w:t xml:space="preserve"> SharePoint. Takie składniki podlegają odrębnym umowom i stosownym zasadom udzielania wsparcia w zakresie produktów zgodnie z opisem w folderze „Licencje” Microsoft dołączonym do oprogramowania, z zastrzeżeniem, że jeśli postanowienia licencyjne dotyczące tych składników umieszczono także w katalogu instalacyjnym, to takie postanowienia mają wówczas charakter nadrzędny. </w:t>
      </w:r>
    </w:p>
    <w:p w:rsidR="00D61D35" w:rsidRPr="007869AA" w:rsidRDefault="00D61D35" w:rsidP="001852C8">
      <w:pPr>
        <w:pStyle w:val="Bullet4"/>
      </w:pPr>
      <w:r>
        <w:rPr>
          <w:b/>
        </w:rPr>
        <w:t xml:space="preserve">Zasoby deweloperskie. </w:t>
      </w:r>
      <w:r>
        <w:t xml:space="preserve">Oprogramowanie obejmuje kompilatory, języki, środowiska uruchomieniowe, środowiska i inne zasoby. Te składniki mogą podlegać odrębnym umowom i mieć własne zasady udzielania wsparcia w zakresie produktów. Lista takich składników znajduje się pod adresem </w:t>
      </w:r>
      <w:hyperlink r:id="rId12" w:history="1">
        <w:r>
          <w:rPr>
            <w:rStyle w:val="Hyperlink"/>
          </w:rPr>
          <w:t>https://support.microsoft.com</w:t>
        </w:r>
      </w:hyperlink>
      <w:r>
        <w:t>.</w:t>
      </w:r>
    </w:p>
    <w:p w:rsidR="00D61D35" w:rsidRPr="00CF2973" w:rsidRDefault="009B4A6B" w:rsidP="00D61D35">
      <w:pPr>
        <w:pStyle w:val="Bullet4"/>
      </w:pPr>
      <w:r>
        <w:rPr>
          <w:b/>
        </w:rPr>
        <w:t xml:space="preserve">Składniki pochodzące od osób trzecich. </w:t>
      </w:r>
      <w:r>
        <w:t xml:space="preserve">Oprogramowanie może zawierać składniki pochodzące od osób trzecich, objęte odrębnymi informacjami prawnymi lub podlegające innym umowom, zgodnie z ewentualnym opisem w plikach ThirdPartyNotices dołączonych do oprogramowania. </w:t>
      </w:r>
    </w:p>
    <w:p w:rsidR="00093E38" w:rsidRPr="00CF2973" w:rsidRDefault="00093E38" w:rsidP="00B212A3">
      <w:pPr>
        <w:pStyle w:val="Heading2"/>
        <w:numPr>
          <w:ilvl w:val="0"/>
          <w:numId w:val="0"/>
        </w:numPr>
        <w:ind w:left="1080"/>
        <w:rPr>
          <w:b w:val="0"/>
        </w:rPr>
      </w:pPr>
    </w:p>
    <w:p w:rsidR="00D61D35" w:rsidRPr="007869AA" w:rsidRDefault="00D61D35" w:rsidP="00D61D35">
      <w:pPr>
        <w:pStyle w:val="Heading2"/>
        <w:ind w:left="720" w:hanging="360"/>
      </w:pPr>
      <w:r>
        <w:t>Menedżery pakietów</w:t>
      </w:r>
      <w:r>
        <w:rPr>
          <w:b w:val="0"/>
        </w:rPr>
        <w:t xml:space="preserve">. Oprogramowanie zawiera menedżery pakietów, takie jak NuGet, które dają Licencjobiorcy możliwość pobierania innych pakietów oprogramowania pochodzącego od Microsoft i osób trzecich w celu używania ich w </w:t>
      </w:r>
      <w:r>
        <w:rPr>
          <w:b w:val="0"/>
          <w:bCs w:val="0"/>
        </w:rPr>
        <w:t>aplikacji</w:t>
      </w:r>
      <w:r>
        <w:rPr>
          <w:b w:val="0"/>
        </w:rPr>
        <w:t xml:space="preserve"> Licencjobiorcy</w:t>
      </w:r>
      <w:r>
        <w:rPr>
          <w:b w:val="0"/>
          <w:bCs w:val="0"/>
        </w:rPr>
        <w:t xml:space="preserve"> Pakiety te podlegają swoim własnym licencjom, a nie niniejszej </w:t>
      </w:r>
      <w:r>
        <w:rPr>
          <w:b w:val="0"/>
        </w:rPr>
        <w:t>umowie. Microsoft nie rozpowszechnia żadnych pakietów osób trzecich, a także nie udziela na nie licencji ani żadnej gwarancji.</w:t>
      </w:r>
    </w:p>
    <w:p w:rsidR="00D61D35" w:rsidRPr="007869AA" w:rsidRDefault="00D61D35" w:rsidP="00D61D35">
      <w:pPr>
        <w:pStyle w:val="Heading1"/>
        <w:ind w:left="360" w:hanging="360"/>
      </w:pPr>
      <w:r>
        <w:t>KOD DYSTRYBUCYJNY.</w:t>
      </w:r>
      <w:r>
        <w:rPr>
          <w:b w:val="0"/>
        </w:rPr>
        <w:t xml:space="preserve"> Licencjobiorca może rozpowszechniać w swoich aplikacjach kod zawarty w oprogramowaniu, zgodnie z postanowieniami niniejszego punktu. (Na potrzeby tego punktu termin „rozpowszechnianie” obejmuje również wdrażanie aplikacji Licencjobiorcy w celu udostępnienia ich w Internecie osobom trzecim).</w:t>
      </w:r>
    </w:p>
    <w:p w:rsidR="00D61D35" w:rsidRPr="007869AA" w:rsidRDefault="00EC19AA" w:rsidP="00D61D35">
      <w:pPr>
        <w:pStyle w:val="Heading2"/>
        <w:ind w:left="720" w:hanging="360"/>
      </w:pPr>
      <w:r>
        <w:lastRenderedPageBreak/>
        <w:t>Prawa do używania i rozpowszechniania.</w:t>
      </w:r>
      <w:r>
        <w:rPr>
          <w:b w:val="0"/>
        </w:rPr>
        <w:t xml:space="preserve"> Kod i inne pliki wymienione poniżej stanowią „Kod Dystrybucyjny”.</w:t>
      </w:r>
    </w:p>
    <w:p w:rsidR="00D61D35" w:rsidRPr="007869AA" w:rsidRDefault="00D61D35" w:rsidP="00D61D35">
      <w:pPr>
        <w:pStyle w:val="Bullet4"/>
      </w:pPr>
      <w:r>
        <w:rPr>
          <w:u w:val="single"/>
        </w:rPr>
        <w:t>Pliki REDIST.TXT</w:t>
      </w:r>
      <w:r>
        <w:t xml:space="preserve">. Licencjobiorca może kopiować i rozpowszechniać w postaci kodu wynikowego kod wyszczególniony na liście REDIST dostępnej pod adresem </w:t>
      </w:r>
      <w:hyperlink r:id="rId13" w:history="1">
        <w:r>
          <w:rPr>
            <w:rStyle w:val="Hyperlink"/>
          </w:rPr>
          <w:t>https://go.microsoft.com/fwlink/?LinkId=823098</w:t>
        </w:r>
      </w:hyperlink>
      <w:r>
        <w:t xml:space="preserve">. </w:t>
      </w:r>
    </w:p>
    <w:p w:rsidR="00D61D35" w:rsidRPr="007869AA" w:rsidRDefault="00D61D35" w:rsidP="00D61D35">
      <w:pPr>
        <w:pStyle w:val="Bullet4"/>
      </w:pPr>
      <w:r>
        <w:rPr>
          <w:u w:val="single"/>
        </w:rPr>
        <w:t>Przykładowy kod, szablony i style</w:t>
      </w:r>
      <w:r>
        <w:t>. Licencjobiorca może kopiować, modyfikować i rozpowszechniać w postaci kodu źródłowego i wynikowego kod oznaczony jako „sample”, „template”, „simple styles” lub „sketch styles”.</w:t>
      </w:r>
    </w:p>
    <w:p w:rsidR="00D61D35" w:rsidRPr="007869AA" w:rsidRDefault="00D61D35" w:rsidP="00D61D35">
      <w:pPr>
        <w:pStyle w:val="Bullet4"/>
      </w:pPr>
      <w:r>
        <w:rPr>
          <w:u w:val="single"/>
        </w:rPr>
        <w:t>Biblioteka obrazów</w:t>
      </w:r>
      <w:r>
        <w:t>. Licencjobiorca może — zgodnie z opisem w dokumentacji oprogramowania — kopiować i rozpowszechniać obrazy, grafikę i animacje znajdujące się w Bibliotece Obrazów.</w:t>
      </w:r>
    </w:p>
    <w:p w:rsidR="00D61D35" w:rsidRPr="007869AA" w:rsidRDefault="009B4A6B" w:rsidP="00D61D35">
      <w:pPr>
        <w:pStyle w:val="Bullet4"/>
      </w:pPr>
      <w:r>
        <w:rPr>
          <w:u w:val="single"/>
        </w:rPr>
        <w:t>Rozpowszechnianie przez osoby trzecie</w:t>
      </w:r>
      <w:r>
        <w:t>. Licencjobiorca może zezwolić dystrybutorom swoich aplikacji na kopiowanie i rozpowszechnianie Kodu Dystrybucyjnego jako części tych aplikacji.</w:t>
      </w:r>
    </w:p>
    <w:p w:rsidR="00D61D35" w:rsidRPr="007869AA" w:rsidRDefault="00D61D35" w:rsidP="00D61D35">
      <w:pPr>
        <w:pStyle w:val="Heading2"/>
        <w:ind w:left="720" w:hanging="360"/>
      </w:pPr>
      <w:r>
        <w:t xml:space="preserve">Wymagania dotyczące rozpowszechniania. </w:t>
      </w:r>
      <w:r>
        <w:rPr>
          <w:b w:val="0"/>
        </w:rPr>
        <w:t>W przypadku każdego rozpowszechnianego przez siebie Kodu dystrybucyjnego Licencjobiorca musi:</w:t>
      </w:r>
    </w:p>
    <w:p w:rsidR="00D61D35" w:rsidRPr="007869AA" w:rsidRDefault="00D61D35" w:rsidP="00517446">
      <w:pPr>
        <w:pStyle w:val="Bullet4"/>
      </w:pPr>
      <w:r>
        <w:t>dodawać do niego w swoich aplikacjach znaczące i podstawowe funkcje oraz</w:t>
      </w:r>
    </w:p>
    <w:p w:rsidR="00D61D35" w:rsidRPr="00103DCB" w:rsidRDefault="00D61D35" w:rsidP="00D61D35">
      <w:pPr>
        <w:pStyle w:val="Bullet4"/>
      </w:pPr>
      <w:r>
        <w:t>wymagać od dystrybutorów oraz zewnętrznych użytkowników końcowych akceptacji postanowień chroniących Kod Dystrybucyjny w stopniu co najmniej równym ochronie zapewnionej na mocy niniejszych postanowień licencyjnych.</w:t>
      </w:r>
    </w:p>
    <w:p w:rsidR="00D61D35" w:rsidRPr="00103DCB" w:rsidRDefault="00D61D35" w:rsidP="00D61D35">
      <w:pPr>
        <w:pStyle w:val="Heading2"/>
        <w:ind w:left="720" w:hanging="360"/>
      </w:pPr>
      <w:r>
        <w:t>Ograniczenia dotyczące rozpowszechniania.</w:t>
      </w:r>
      <w:r>
        <w:rPr>
          <w:b w:val="0"/>
        </w:rPr>
        <w:t xml:space="preserve"> Licencjobiorcy nie wolno:</w:t>
      </w:r>
    </w:p>
    <w:p w:rsidR="00D61D35" w:rsidRPr="007869AA" w:rsidRDefault="00D61D35" w:rsidP="00D61D35">
      <w:pPr>
        <w:pStyle w:val="Bullet4"/>
      </w:pPr>
      <w:r>
        <w:t>używać znaków towarowych Microsoft w nazwach swoich aplikacji lub w sposób sugerujący, że aplikacje Licencjobiorcy zostały wyprodukowane przez Microsoft lub są przez Microsoft promowane; lub</w:t>
      </w:r>
    </w:p>
    <w:p w:rsidR="00D61D35" w:rsidRPr="007869AA" w:rsidRDefault="00D61D35" w:rsidP="00D61D35">
      <w:pPr>
        <w:pStyle w:val="Bullet4"/>
      </w:pPr>
      <w:r>
        <w:t>modyfikować ani rozpowszechniać kodu źródłowego żadnego Kodu dystrybucyjnego w taki sposób, aby jakakolwiek jego część podlegała Licencji Wyłączającej. „Licencja Wyłączająca” to licencja, w której warunkiem używania, modyfikacji lub rozpowszechniania kodu jest, aby (i) kod taki był jawny lub rozpowszechniany w postaci kodu źródłowego; lub (ii) inne osoby były uprawnione do modyfikowania takiego kodu.</w:t>
      </w:r>
    </w:p>
    <w:p w:rsidR="00495061" w:rsidRPr="00495061" w:rsidRDefault="00D61D35" w:rsidP="007F18B2">
      <w:pPr>
        <w:pStyle w:val="Heading1"/>
        <w:ind w:left="360" w:hanging="360"/>
        <w:rPr>
          <w:rFonts w:eastAsia="SimSun"/>
        </w:rPr>
      </w:pPr>
      <w:r>
        <w:t>DANE.</w:t>
      </w:r>
      <w:r>
        <w:rPr>
          <w:b w:val="0"/>
        </w:rPr>
        <w:t xml:space="preserve">  </w:t>
      </w:r>
    </w:p>
    <w:p w:rsidR="00D61D35" w:rsidRPr="00495061" w:rsidRDefault="00495061" w:rsidP="00495061">
      <w:pPr>
        <w:pStyle w:val="Heading2"/>
        <w:ind w:left="720" w:hanging="360"/>
        <w:rPr>
          <w:b w:val="0"/>
        </w:rPr>
      </w:pPr>
      <w:r>
        <w:t xml:space="preserve">Gromadzenie danych. </w:t>
      </w:r>
      <w:r>
        <w:rPr>
          <w:b w:val="0"/>
        </w:rPr>
        <w:t>Oprogramowanie może gromadzić informacje o Licencjobiorcy i sposobie, w jaki używa on oprogramowania, a także przesyłać takie informacje do Microsoft. Microsoft może wykorzystywać te informacje w celu świadczenia usług oraz w celu ulepszenia produktów i usług Microsoft. Licencjobiorca może zrezygnować z wielu scenariuszy (ale nie wszystkich), jak opisano w dokumentacji produktu.  O</w:t>
      </w:r>
      <w:r>
        <w:rPr>
          <w:b w:val="0"/>
          <w:color w:val="000000"/>
        </w:rPr>
        <w:t>kreślone funkcje oprogramowania mogą umożliwiać Licencjobiorcy i Microsoft zbieranie danych od użytkowników aplikacji Licencjobiorcy</w:t>
      </w:r>
      <w:r>
        <w:rPr>
          <w:b w:val="0"/>
        </w:rPr>
        <w:t xml:space="preserve">. Jeśli Licencjobiorca używa tych funkcji, musi przestrzegać przepisów prawa właściwego, w tym stosownie powiadamiać użytkowników aplikacji Licencjobiorcy o tych działaniach, a także udostępnić im kopię przyjętego przez Microsoft oświadczenia o ochronie prywatności. Oświadczenie to można znaleźć pod adresem </w:t>
      </w:r>
      <w:hyperlink r:id="rId14" w:history="1">
        <w:r>
          <w:rPr>
            <w:rStyle w:val="Hyperlink"/>
            <w:b w:val="0"/>
            <w:sz w:val="20"/>
            <w:szCs w:val="20"/>
          </w:rPr>
          <w:t>https://go.microsoft.com/fwlink/?LinkID=824704</w:t>
        </w:r>
      </w:hyperlink>
      <w:r>
        <w:rPr>
          <w:rStyle w:val="Hyperlink"/>
          <w:b w:val="0"/>
        </w:rPr>
        <w:t xml:space="preserve">. </w:t>
      </w:r>
      <w:r>
        <w:rPr>
          <w:b w:val="0"/>
        </w:rPr>
        <w:t>Więcej informacji na temat zbierania i używania danych można znaleźć w dokumentacji pomocy i oświadczeniu Microsoft o ochronie prywatności. Używanie przez Licencjobiorcę oprogramowania oznacza zgodę Licencjobiorcy na takie działania.</w:t>
      </w:r>
    </w:p>
    <w:p w:rsidR="00495061" w:rsidRPr="007F18B2" w:rsidRDefault="00495061" w:rsidP="00495061">
      <w:pPr>
        <w:pStyle w:val="Heading2"/>
        <w:ind w:left="720" w:hanging="360"/>
        <w:rPr>
          <w:rFonts w:eastAsia="SimSun"/>
        </w:rPr>
      </w:pPr>
      <w:r>
        <w:t xml:space="preserve">Przetwarzanie danych osobowych. </w:t>
      </w:r>
      <w:r>
        <w:rPr>
          <w:b w:val="0"/>
        </w:rPr>
        <w:t xml:space="preserve">W zakresie, w jakim Microsoft jest podmiotem przetwarzającym lub podwykonawcą przetwarzania danych osobowych w związku z oprogramowaniem, Microsoft podejmuje zobowiązania wynikające z przepisów ogólnego rozporządzenia o ochronie danych przyjętego przez UE, określone w Postanowieniach dotyczących Usług Online, które można znaleźć pod adresem </w:t>
      </w:r>
      <w:hyperlink r:id="rId15" w:history="1">
        <w:r>
          <w:rPr>
            <w:rStyle w:val="Hyperlink"/>
            <w:b w:val="0"/>
          </w:rPr>
          <w:t>http://go.microsoft.com/?linkid=9840733</w:t>
        </w:r>
      </w:hyperlink>
      <w:r>
        <w:t xml:space="preserve"> </w:t>
      </w:r>
      <w:r>
        <w:rPr>
          <w:b w:val="0"/>
        </w:rPr>
        <w:t>w odniesieniu do wszystkich klientów począwszy od dnia 25 maja 2018 r.</w:t>
      </w:r>
    </w:p>
    <w:p w:rsidR="00D61D35" w:rsidRPr="007869AA" w:rsidRDefault="00D61D35" w:rsidP="00D61D35">
      <w:pPr>
        <w:pStyle w:val="Heading1"/>
        <w:ind w:left="360" w:hanging="360"/>
      </w:pPr>
      <w:r>
        <w:t xml:space="preserve">ZAKRES LICENCJI. </w:t>
      </w:r>
      <w:r>
        <w:rPr>
          <w:b w:val="0"/>
        </w:rPr>
        <w:t>Oprogramowanie jest licencjonowane, a nie sprzedawane. Na mocy niniejszej umowy Licencjobiorca uzyskuje tylko niektóre prawa do używania oprogramowania. Microsoft zastrzega sobie wszystkie pozostałe prawa. Licencjobiorca może korzystać z oprogramowania tylko w sposób wyraźnie dozwolony w niniejszej umowie. Nie dotyczy to sytuacji, w których pomimo niniejszego ograniczenia na mocy prawa właściwego przysługują mu dodatkowe uprawnienia. W takich przypadkach Licencjobiorca musi przestrzegać wszelkich ograniczeń technicznych oprogramowania zapewniających, że z oprogramowania będzie można korzystać wyłącznie w określony sposób. Licencjobiorcy nie wolno:</w:t>
      </w:r>
    </w:p>
    <w:p w:rsidR="00D61D35" w:rsidRPr="007869AA" w:rsidRDefault="00D61D35" w:rsidP="00D61D35">
      <w:pPr>
        <w:pStyle w:val="Bullet4"/>
      </w:pPr>
      <w:r>
        <w:t>obchodzić ograniczeń technicznych oprogramowania;</w:t>
      </w:r>
    </w:p>
    <w:p w:rsidR="00D61D35" w:rsidRPr="007869AA" w:rsidRDefault="00D61D35" w:rsidP="00D61D35">
      <w:pPr>
        <w:pStyle w:val="Bullet4"/>
        <w:rPr>
          <w:rFonts w:eastAsia="SimSun"/>
        </w:rPr>
      </w:pPr>
      <w:r>
        <w:t>odtwarzać, dekompilować ani deasemblować oprogramowania, ani w inny sposób podejmować prób pozyskania kodu źródłowego z oprogramowania, chyba że w przypadku i tylko w takim zakresie, w jakim jest to wymagane na mocy ustanowionych przez osoby trzecie postanowień licencyjnych mających zastosowanie do używania określonych składników podlegających licencji open source, które mogą być dołączone do oprogramowania;</w:t>
      </w:r>
    </w:p>
    <w:p w:rsidR="00D61D35" w:rsidRPr="007869AA" w:rsidRDefault="00D61D35" w:rsidP="00D61D35">
      <w:pPr>
        <w:pStyle w:val="Bullet4"/>
      </w:pPr>
      <w:r>
        <w:t>usuwać, minimalizować, blokować ani modyfikować żadnych umieszczonych w oprogramowaniu powiadomień Microsoft ani dostawców Microsoft;</w:t>
      </w:r>
    </w:p>
    <w:p w:rsidR="00D61D35" w:rsidRPr="007869AA" w:rsidRDefault="00D61D35" w:rsidP="00D61D35">
      <w:pPr>
        <w:pStyle w:val="Bullet4"/>
      </w:pPr>
      <w:r>
        <w:t>używać oprogramowania w sposób niezgodny z prawem lub</w:t>
      </w:r>
    </w:p>
    <w:p w:rsidR="00D61D35" w:rsidRPr="007869AA" w:rsidRDefault="00D61D35" w:rsidP="00D61D35">
      <w:pPr>
        <w:pStyle w:val="Bullet4"/>
      </w:pPr>
      <w:r>
        <w:t>udostępniać, publikować ani wynajmować oprogramowania, dostarczać go w postaci samodzielnego rozwiązania w celu używania go przez inne osoby ani przenosić tego oprogramowania lub niniejszej umowy na osobę trzecią.</w:t>
      </w:r>
    </w:p>
    <w:p w:rsidR="00D61D35" w:rsidRPr="007869AA" w:rsidRDefault="00A61640" w:rsidP="00D61D35">
      <w:pPr>
        <w:pStyle w:val="Heading1"/>
        <w:ind w:left="360" w:hanging="360"/>
        <w:rPr>
          <w:u w:val="single"/>
        </w:rPr>
      </w:pPr>
      <w:r>
        <w:t xml:space="preserve">POMOC TECHNICZNA. </w:t>
      </w:r>
      <w:hyperlink r:id="rId16" w:history="1">
        <w:r>
          <w:rPr>
            <w:b w:val="0"/>
          </w:rPr>
          <w:t>Niniejsze</w:t>
        </w:r>
      </w:hyperlink>
      <w:r>
        <w:rPr>
          <w:b w:val="0"/>
        </w:rPr>
        <w:t xml:space="preserve"> oprogramowanie jest udostępniane Licencjobiorcy w stanie „takim, w jakim jest”, Microsoft może zatem nie świadczyć usług pomocy technicznej do tego oprogramowania.</w:t>
      </w:r>
    </w:p>
    <w:p w:rsidR="00D61D35" w:rsidRPr="007869AA" w:rsidRDefault="00D61D35" w:rsidP="00D61D35">
      <w:pPr>
        <w:pStyle w:val="Heading1"/>
        <w:ind w:left="360" w:hanging="360"/>
      </w:pPr>
      <w:r>
        <w:t xml:space="preserve">CAŁOŚĆ UMOWY. </w:t>
      </w:r>
      <w:r>
        <w:rPr>
          <w:b w:val="0"/>
        </w:rPr>
        <w:t>Niniejsza umowa wraz ze wszystkimi postanowieniami dotyczącymi uzupełnień, aktualizacji, usług internetowych i usług pomocy technicznej, z których korzysta Licencjobiorca, stanowią całość umowy dotyczącej oprogramowania i usług pomocy technicznej.</w:t>
      </w:r>
    </w:p>
    <w:p w:rsidR="00B51307" w:rsidRPr="003E7583" w:rsidRDefault="00B51307" w:rsidP="00B51307">
      <w:pPr>
        <w:pStyle w:val="Heading1"/>
        <w:ind w:left="360" w:hanging="360"/>
        <w:rPr>
          <w:rStyle w:val="Hyperlink"/>
          <w:rFonts w:cs="Tahoma"/>
          <w:b w:val="0"/>
          <w:color w:val="auto"/>
          <w:u w:val="none"/>
        </w:rPr>
      </w:pPr>
      <w:r>
        <w:t xml:space="preserve">OGRANICZENIA EKSPORTOWE.  </w:t>
      </w:r>
      <w:r>
        <w:rPr>
          <w:b w:val="0"/>
        </w:rPr>
        <w:t xml:space="preserve">Licencjobiorca musi przestrzegać wszelkich krajowych i międzynarodowych przepisów prawa eksportowego mających zastosowanie do oprogramowania, które obejmują ograniczenia dotyczące kraju przeznaczenia, użytkowników końcowych i końcowego użycia. Więcej informacji na temat ograniczeń eksportowych można znaleźć na stronie </w:t>
      </w:r>
      <w:hyperlink r:id="rId17" w:history="1">
        <w:r>
          <w:rPr>
            <w:rStyle w:val="Hyperlink"/>
            <w:b w:val="0"/>
          </w:rPr>
          <w:t>www.microsoft.com/exporting</w:t>
        </w:r>
      </w:hyperlink>
      <w:r>
        <w:rPr>
          <w:rStyle w:val="Hyperlink"/>
          <w:b w:val="0"/>
        </w:rPr>
        <w:t>.</w:t>
      </w:r>
    </w:p>
    <w:p w:rsidR="00D61D35" w:rsidRPr="000E0F9C" w:rsidRDefault="00D61D35" w:rsidP="00D61D35">
      <w:pPr>
        <w:pStyle w:val="Heading1"/>
        <w:ind w:left="360" w:hanging="360"/>
      </w:pPr>
      <w:r>
        <w:t xml:space="preserve">PRAWO WŁAŚCIWE </w:t>
      </w:r>
      <w:r>
        <w:rPr>
          <w:b w:val="0"/>
        </w:rPr>
        <w:t>Jeśli Licencjobiorca nabył oprogramowanie w Stanach Zjednoczonych, prawem właściwym dla wykładni postanowień niniejszej umowy i rozpatrywania roszczeń z tytułu ich naruszenia jest prawo stanu Waszyngton, a do wszelkich innych roszczeń mają zastosowanie prawa stanu, w którym mieszka Licencjobiorca. Jeśli Licencjobiorca nabył oprogramowanie w innym kraju, prawem właściwym dla wykładni niniejszej umowy jest prawo obowiązujące w tym kraju.</w:t>
      </w:r>
    </w:p>
    <w:p w:rsidR="000E0F9C" w:rsidRPr="00465345" w:rsidRDefault="000E0F9C" w:rsidP="00465345">
      <w:pPr>
        <w:pStyle w:val="Heading1"/>
        <w:tabs>
          <w:tab w:val="clear" w:pos="5940"/>
          <w:tab w:val="num" w:pos="540"/>
        </w:tabs>
        <w:ind w:left="360" w:hanging="360"/>
        <w:rPr>
          <w:b w:val="0"/>
        </w:rPr>
      </w:pPr>
      <w:r>
        <w:t xml:space="preserve">PRAWA KONSUMENTA — RÓŻNICE REGIONALNE. </w:t>
      </w:r>
      <w:r>
        <w:rPr>
          <w:b w:val="0"/>
        </w:rPr>
        <w:t>W niniejszej umowie zostały przedstawione niektóre z praw przysługujących stronom. Licencjobiorcy mogą przysługiwać inne uprawnienia, w tym uprawnienia konsumenta, na mocy przepisów prawa obowiązujących w stanie lub kraju Licencjobiorcy. Niezależnie od charakteru relacji, jakie Licencjobiorca utrzymuje z Microsoft, Licencjobiorcy mogą też przysługiwać określone uprawnienia względem strony, od której nabył oprogramowanie. Niniejsza umowa nie zmienia tych innych uprawnień, jeśli przepisy prawa przysługujące Licencjobiorcy na mocy ustawodawstwa stanowego lub krajowego nie zezwalają na takie zmiany. Na przykład, jeśli Licencjobiorca nabył oprogramowanie w jednym z poniższych regionów lub w przypadku obowiązywania obowiązkowego prawa krajowego, wtedy Licencjobiorca stosuje się do poniższych postanowień:</w:t>
      </w:r>
    </w:p>
    <w:p w:rsidR="000E0F9C" w:rsidRPr="00465345" w:rsidRDefault="000E0F9C" w:rsidP="000E0F9C">
      <w:pPr>
        <w:pStyle w:val="Heading2"/>
        <w:numPr>
          <w:ilvl w:val="0"/>
          <w:numId w:val="10"/>
        </w:numPr>
        <w:tabs>
          <w:tab w:val="clear" w:pos="7923"/>
        </w:tabs>
        <w:rPr>
          <w:b w:val="0"/>
        </w:rPr>
      </w:pPr>
      <w:r>
        <w:t xml:space="preserve">Australia. </w:t>
      </w:r>
      <w:r>
        <w:rPr>
          <w:b w:val="0"/>
        </w:rPr>
        <w:t>Australijska ustawa o ochronie konsumentów (Australian Consumer Law) przyznaje Licencjobiorcy określone gwarancje i żadne z zawartych w tej umowie postanowień nie ma na celu ograniczenia tych uprawnień.</w:t>
      </w:r>
    </w:p>
    <w:p w:rsidR="000E0F9C" w:rsidRPr="00465345" w:rsidRDefault="000E0F9C" w:rsidP="000E0F9C">
      <w:pPr>
        <w:pStyle w:val="Heading2"/>
        <w:numPr>
          <w:ilvl w:val="0"/>
          <w:numId w:val="10"/>
        </w:numPr>
        <w:tabs>
          <w:tab w:val="clear" w:pos="7923"/>
        </w:tabs>
        <w:rPr>
          <w:b w:val="0"/>
        </w:rPr>
      </w:pPr>
      <w:r>
        <w:t xml:space="preserve">Kanada. </w:t>
      </w:r>
      <w:r>
        <w:rPr>
          <w:b w:val="0"/>
        </w:rPr>
        <w:t>Jeśli Licencjobiorca nabył oprogramowanie w Kanadzie i nie chce już otrzymywać aktualizacji, może wyłączyć funkcję automatycznej aktualizacji, odłączyć swoje urządzenie od Internetu (w takim jednak przypadku po ponownym podłączeniu urządzenia do Internetu oprogramowanie wznowi wyszukiwanie i instalowanie aktualizacji) albo odinstalować oprogramowanie. Ewentualna dokumentacja produktu może także zawierać informacje na temat sposobu wyłączania funkcji aktualizacji w danym urządzeniu Licencjobiorcy lub w oprogramowaniu.</w:t>
      </w:r>
    </w:p>
    <w:p w:rsidR="000E0F9C" w:rsidRPr="00465345" w:rsidRDefault="000E0F9C" w:rsidP="000E0F9C">
      <w:pPr>
        <w:pStyle w:val="Heading2"/>
        <w:numPr>
          <w:ilvl w:val="0"/>
          <w:numId w:val="10"/>
        </w:numPr>
        <w:tabs>
          <w:tab w:val="clear" w:pos="7923"/>
        </w:tabs>
        <w:rPr>
          <w:b w:val="0"/>
        </w:rPr>
      </w:pPr>
      <w:r>
        <w:t>Niemcy i Austria</w:t>
      </w:r>
      <w:r>
        <w:rPr>
          <w:b w:val="0"/>
        </w:rPr>
        <w:t>.</w:t>
      </w:r>
    </w:p>
    <w:p w:rsidR="000E0F9C" w:rsidRPr="00465345" w:rsidRDefault="000E0F9C" w:rsidP="000E0F9C">
      <w:pPr>
        <w:ind w:left="717"/>
      </w:pPr>
      <w:r>
        <w:rPr>
          <w:b/>
        </w:rPr>
        <w:t>(i)</w:t>
      </w:r>
      <w:r>
        <w:tab/>
      </w:r>
      <w:r>
        <w:rPr>
          <w:b/>
        </w:rPr>
        <w:t>Rękojmia i gwarancja</w:t>
      </w:r>
      <w:r>
        <w:t>. Oprogramowanie będzie działać zasadniczo zgodnie z opisem znajdującym się w materiałach Microsoft towarzyszących temu oprogramowaniu. Microsoft nie udziela jednak żadnych innych umownych gwarancji dotyczących tego oprogramowania.</w:t>
      </w:r>
    </w:p>
    <w:p w:rsidR="000E0F9C" w:rsidRPr="00465345" w:rsidRDefault="000E0F9C" w:rsidP="000E0F9C">
      <w:pPr>
        <w:ind w:left="717"/>
      </w:pPr>
      <w:r>
        <w:rPr>
          <w:b/>
        </w:rPr>
        <w:t>(ii)</w:t>
      </w:r>
      <w:r>
        <w:tab/>
      </w:r>
      <w:r>
        <w:rPr>
          <w:b/>
        </w:rPr>
        <w:t>Ograniczenie odpowiedzialności</w:t>
      </w:r>
      <w:r>
        <w:t>. W przypadku umyślnego działania, rażącego niedbalstwa, roszczeń opartych na ustawie o odpowiedzialności za produkt (Product Liability Act) oraz w przypadku śmierci lub uszczerbku na zdrowiu Microsoft ponosi odpowiedzialność zgodnie z przepisami bezwzględnie obowiązującymi.</w:t>
      </w:r>
    </w:p>
    <w:p w:rsidR="003F0C02" w:rsidRPr="00465345" w:rsidRDefault="000E0F9C" w:rsidP="000E0F9C">
      <w:pPr>
        <w:pStyle w:val="Heading1"/>
        <w:numPr>
          <w:ilvl w:val="0"/>
          <w:numId w:val="0"/>
        </w:numPr>
        <w:ind w:left="717"/>
        <w:rPr>
          <w:b w:val="0"/>
        </w:rPr>
      </w:pPr>
      <w:r>
        <w:rPr>
          <w:b w:val="0"/>
        </w:rPr>
        <w:t>Z zastrzeżeniem postanowień zawartych w powyższym podpunkcie (ii) Microsoft ponosi odpowiedzialność jedynie z tytułu nieznacznego zaniedbania w przypadku niewywiązania się ze swoich istotnych zobowiązań umownych, których naruszenie mogłoby stanowić zagrożenie dla realizacji celu niniejszej umowy, a co do wypełnienia których strona może mieć bezwzględne zaufanie (tzw. podstawowe zobowiązania umowne). Microsoft nie ponosi żadnej odpowiedzialności z tytułu pozostałych przypadków nieznacznego niedbalstwa.</w:t>
      </w:r>
    </w:p>
    <w:p w:rsidR="00D61D35" w:rsidRPr="007869AA" w:rsidRDefault="00D61D35" w:rsidP="00D61D35">
      <w:pPr>
        <w:pStyle w:val="Heading1"/>
        <w:ind w:left="360" w:hanging="360"/>
        <w:rPr>
          <w:caps/>
        </w:rPr>
      </w:pPr>
      <w:r>
        <w:t xml:space="preserve">ODRZUCENIE ODPOWIEDZIALNOŚCI Z TYTUŁU RĘKOJMI I GWARANCJI. </w:t>
      </w:r>
      <w:r>
        <w:rPr>
          <w:caps/>
        </w:rPr>
        <w:t>Oprogramowanie jest licencjonowane w takim stanie, w jakim się znajduje.  To Państwo ponoszą wszelkie ryzyko związane z jej używaniem. Microsoft nie udziela żadnych wyraźnych rękojmi, gwarancji ani zapewnień dotyczących oprogramowania. W zakresie dozwolonym przez prawo miejscowe Microsoft niniejszym wyłącza swoją odpowiedzialność z tytułu dorozumianych rękojmi i gwarancji dotyczących oprogramowania, w tym gwarancji z tytułu wartości handlowej, przydatności do określonego celu oraz braku naruszeń praw osób trzecich.</w:t>
      </w:r>
    </w:p>
    <w:p w:rsidR="00D61D35" w:rsidRPr="007869AA" w:rsidRDefault="00D61D35" w:rsidP="00D61D35">
      <w:pPr>
        <w:pStyle w:val="Heading1"/>
        <w:ind w:left="360" w:hanging="360"/>
        <w:rPr>
          <w:caps/>
        </w:rPr>
      </w:pPr>
      <w:r>
        <w:rPr>
          <w:caps/>
        </w:rPr>
        <w:t>OGRANICZENIE ODPOWIEDZIALNOŚCI ODSZKODOWAWCZEJ. Microsoft i dostawcy Microsoft ponoszą odpowiedzialność wyłącznie za szkody bezpośrednie do kwoty 5,00 USD. Licencjobiorca nie może dochodzić roszczeń z tytułu żadnych innych szkód, w tym szkód wynikających z utraty zysków, szkód wtórnych, szkód szczególnych, szkód pośrednich lub szkód ubocznych.</w:t>
      </w:r>
    </w:p>
    <w:p w:rsidR="00D61D35" w:rsidRPr="007869AA" w:rsidRDefault="00D61D35" w:rsidP="00D61D35">
      <w:pPr>
        <w:pStyle w:val="Body1"/>
        <w:rPr>
          <w:rFonts w:eastAsia="SimSun"/>
        </w:rPr>
      </w:pPr>
      <w:r>
        <w:t>Ograniczenie to ma zastosowanie w przypadku (a) wszelkich kwestii dotyczących oprogramowania, usług, treści (w tym kodu) udostępnianych na stronach internetowych osób trzecich lub aplikacji osób trzecich, a także (b) w przypadku roszczeń z tytułu naruszenia umowy, rękojmi bądź gwarancji, złożonych zapewnień, odpowiedzialności obiektywnej bądź niedbalstwa lub czynu niedozwolonego w zakresie dozwolonym przez prawo właściwe.</w:t>
      </w:r>
    </w:p>
    <w:p w:rsidR="00D61D35" w:rsidRDefault="00D61D35" w:rsidP="00D61D35">
      <w:pPr>
        <w:pStyle w:val="Bullet4"/>
        <w:numPr>
          <w:ilvl w:val="0"/>
          <w:numId w:val="0"/>
        </w:numPr>
        <w:ind w:left="360"/>
      </w:pPr>
      <w:r>
        <w:t>Ograniczenie to ma zastosowanie także w przypadku, gdy spółka Microsoft wiedziała lub powinna była wiedzieć o możliwości powstania takich szkód. Powyższe ograniczenie i wyłączenie mogą nie dotyczyć Licencjobiorcy w przypadku, gdy na mocy prawa krajowego lub stanowego nie jest dozwolone wyłączenie ani ograniczenie odpowiedzialności za szkody uboczne, wtórne itp.</w:t>
      </w:r>
    </w:p>
    <w:p w:rsidR="00382CE5" w:rsidRDefault="00382CE5" w:rsidP="00D61D35">
      <w:pPr>
        <w:pStyle w:val="Bullet4"/>
        <w:numPr>
          <w:ilvl w:val="0"/>
          <w:numId w:val="0"/>
        </w:numPr>
        <w:ind w:left="360"/>
      </w:pPr>
    </w:p>
    <w:p w:rsidR="00382CE5" w:rsidRDefault="00382CE5" w:rsidP="00D61D35">
      <w:pPr>
        <w:pStyle w:val="Bullet4"/>
        <w:numPr>
          <w:ilvl w:val="0"/>
          <w:numId w:val="0"/>
        </w:numPr>
        <w:ind w:left="360"/>
      </w:pPr>
      <w:r>
        <w:t>EULA ID: VS2017_COMMUNITY_RTW.3_</w:t>
      </w:r>
      <w:r w:rsidR="002C40AD">
        <w:t>PLK</w:t>
      </w:r>
      <w:bookmarkStart w:id="0" w:name="_GoBack"/>
      <w:bookmarkEnd w:id="0"/>
    </w:p>
    <w:p w:rsidR="000E0F9C" w:rsidRDefault="000E0F9C" w:rsidP="00D61D35">
      <w:pPr>
        <w:pStyle w:val="Bullet4"/>
        <w:numPr>
          <w:ilvl w:val="0"/>
          <w:numId w:val="0"/>
        </w:numPr>
        <w:ind w:left="360"/>
      </w:pPr>
    </w:p>
    <w:p w:rsidR="000E0F9C" w:rsidRPr="007869AA" w:rsidRDefault="000E0F9C" w:rsidP="00D61D35">
      <w:pPr>
        <w:pStyle w:val="Bullet4"/>
        <w:numPr>
          <w:ilvl w:val="0"/>
          <w:numId w:val="0"/>
        </w:numPr>
        <w:ind w:left="360"/>
      </w:pPr>
    </w:p>
    <w:sectPr w:rsidR="000E0F9C" w:rsidRPr="007869AA"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606" w:rsidRDefault="00893606" w:rsidP="00BB4853">
      <w:r>
        <w:separator/>
      </w:r>
    </w:p>
  </w:endnote>
  <w:endnote w:type="continuationSeparator" w:id="0">
    <w:p w:rsidR="00893606" w:rsidRDefault="00893606" w:rsidP="00BB4853">
      <w:r>
        <w:continuationSeparator/>
      </w:r>
    </w:p>
  </w:endnote>
  <w:endnote w:type="continuationNotice" w:id="1">
    <w:p w:rsidR="00893606" w:rsidRDefault="00893606"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606" w:rsidRDefault="00893606" w:rsidP="00BB4853">
      <w:r>
        <w:separator/>
      </w:r>
    </w:p>
  </w:footnote>
  <w:footnote w:type="continuationSeparator" w:id="0">
    <w:p w:rsidR="00893606" w:rsidRDefault="00893606" w:rsidP="00BB4853">
      <w:r>
        <w:continuationSeparator/>
      </w:r>
    </w:p>
  </w:footnote>
  <w:footnote w:type="continuationNotice" w:id="1">
    <w:p w:rsidR="00893606" w:rsidRDefault="00893606" w:rsidP="00BB48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C54"/>
    <w:rsid w:val="000905EF"/>
    <w:rsid w:val="00091565"/>
    <w:rsid w:val="00093E38"/>
    <w:rsid w:val="0009416F"/>
    <w:rsid w:val="000A62F1"/>
    <w:rsid w:val="000B216E"/>
    <w:rsid w:val="000B3668"/>
    <w:rsid w:val="000B49F7"/>
    <w:rsid w:val="000B56EF"/>
    <w:rsid w:val="000C02E6"/>
    <w:rsid w:val="000C46D9"/>
    <w:rsid w:val="000C49E3"/>
    <w:rsid w:val="000C5BEA"/>
    <w:rsid w:val="000C7E16"/>
    <w:rsid w:val="000D21E7"/>
    <w:rsid w:val="000D57A3"/>
    <w:rsid w:val="000D704B"/>
    <w:rsid w:val="000D7699"/>
    <w:rsid w:val="000E0F9C"/>
    <w:rsid w:val="000E14F4"/>
    <w:rsid w:val="000E2C40"/>
    <w:rsid w:val="000E6AA8"/>
    <w:rsid w:val="000F05BB"/>
    <w:rsid w:val="000F0955"/>
    <w:rsid w:val="000F0D56"/>
    <w:rsid w:val="000F1A07"/>
    <w:rsid w:val="0010256E"/>
    <w:rsid w:val="00102CA5"/>
    <w:rsid w:val="00103021"/>
    <w:rsid w:val="00103464"/>
    <w:rsid w:val="00103DCB"/>
    <w:rsid w:val="0010417B"/>
    <w:rsid w:val="00104D31"/>
    <w:rsid w:val="00106B65"/>
    <w:rsid w:val="00111754"/>
    <w:rsid w:val="001128F1"/>
    <w:rsid w:val="001140E1"/>
    <w:rsid w:val="001142D7"/>
    <w:rsid w:val="00114F90"/>
    <w:rsid w:val="0011570B"/>
    <w:rsid w:val="00121795"/>
    <w:rsid w:val="0012421A"/>
    <w:rsid w:val="00126816"/>
    <w:rsid w:val="00140DF2"/>
    <w:rsid w:val="00141C55"/>
    <w:rsid w:val="00145B56"/>
    <w:rsid w:val="001507E3"/>
    <w:rsid w:val="00151392"/>
    <w:rsid w:val="00154EE4"/>
    <w:rsid w:val="001606CE"/>
    <w:rsid w:val="00161834"/>
    <w:rsid w:val="00163DB0"/>
    <w:rsid w:val="00166064"/>
    <w:rsid w:val="00166929"/>
    <w:rsid w:val="001724EF"/>
    <w:rsid w:val="00176338"/>
    <w:rsid w:val="0018207A"/>
    <w:rsid w:val="00183AFE"/>
    <w:rsid w:val="00183C78"/>
    <w:rsid w:val="001852C8"/>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F30A7"/>
    <w:rsid w:val="002017BB"/>
    <w:rsid w:val="00207E25"/>
    <w:rsid w:val="0021272C"/>
    <w:rsid w:val="0021403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40AD"/>
    <w:rsid w:val="002C78CE"/>
    <w:rsid w:val="002D1A8A"/>
    <w:rsid w:val="002D6E49"/>
    <w:rsid w:val="002D7B13"/>
    <w:rsid w:val="002E2EB2"/>
    <w:rsid w:val="002E612E"/>
    <w:rsid w:val="002E672E"/>
    <w:rsid w:val="002E7CC5"/>
    <w:rsid w:val="002F052A"/>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50057"/>
    <w:rsid w:val="00350BB3"/>
    <w:rsid w:val="00352FCD"/>
    <w:rsid w:val="003603D9"/>
    <w:rsid w:val="00361626"/>
    <w:rsid w:val="00361E26"/>
    <w:rsid w:val="00365640"/>
    <w:rsid w:val="00365A72"/>
    <w:rsid w:val="00366BFF"/>
    <w:rsid w:val="0037013B"/>
    <w:rsid w:val="00381300"/>
    <w:rsid w:val="00382A4C"/>
    <w:rsid w:val="00382CE5"/>
    <w:rsid w:val="003845AA"/>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D7484"/>
    <w:rsid w:val="003E48D5"/>
    <w:rsid w:val="003E5D63"/>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191F"/>
    <w:rsid w:val="00493D55"/>
    <w:rsid w:val="00495061"/>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174A"/>
    <w:rsid w:val="00503395"/>
    <w:rsid w:val="005052A1"/>
    <w:rsid w:val="00511D22"/>
    <w:rsid w:val="005134A0"/>
    <w:rsid w:val="005154B6"/>
    <w:rsid w:val="00517446"/>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6128"/>
    <w:rsid w:val="00606801"/>
    <w:rsid w:val="00610665"/>
    <w:rsid w:val="00612E7F"/>
    <w:rsid w:val="00613B37"/>
    <w:rsid w:val="00617717"/>
    <w:rsid w:val="006177D7"/>
    <w:rsid w:val="006256A6"/>
    <w:rsid w:val="00625892"/>
    <w:rsid w:val="006258B0"/>
    <w:rsid w:val="006264D7"/>
    <w:rsid w:val="00631B77"/>
    <w:rsid w:val="00631FAE"/>
    <w:rsid w:val="00632723"/>
    <w:rsid w:val="00634103"/>
    <w:rsid w:val="006353EB"/>
    <w:rsid w:val="006365B1"/>
    <w:rsid w:val="00637EBD"/>
    <w:rsid w:val="0064076D"/>
    <w:rsid w:val="00647094"/>
    <w:rsid w:val="006476E3"/>
    <w:rsid w:val="006559B4"/>
    <w:rsid w:val="006567F2"/>
    <w:rsid w:val="006610C5"/>
    <w:rsid w:val="0066216B"/>
    <w:rsid w:val="006630AB"/>
    <w:rsid w:val="0066367C"/>
    <w:rsid w:val="00663B86"/>
    <w:rsid w:val="00666203"/>
    <w:rsid w:val="00666581"/>
    <w:rsid w:val="006666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C773C"/>
    <w:rsid w:val="006C79EA"/>
    <w:rsid w:val="006D1EB3"/>
    <w:rsid w:val="006D3B5F"/>
    <w:rsid w:val="006D50EC"/>
    <w:rsid w:val="006D5D69"/>
    <w:rsid w:val="006D6366"/>
    <w:rsid w:val="006E1627"/>
    <w:rsid w:val="006E2947"/>
    <w:rsid w:val="006E2FCA"/>
    <w:rsid w:val="006E39E8"/>
    <w:rsid w:val="006E48B4"/>
    <w:rsid w:val="006E6D57"/>
    <w:rsid w:val="006F142E"/>
    <w:rsid w:val="006F152E"/>
    <w:rsid w:val="006F213F"/>
    <w:rsid w:val="0070122F"/>
    <w:rsid w:val="007039E2"/>
    <w:rsid w:val="00712A20"/>
    <w:rsid w:val="00713CD6"/>
    <w:rsid w:val="0071404E"/>
    <w:rsid w:val="0072295E"/>
    <w:rsid w:val="00722A82"/>
    <w:rsid w:val="00725B4B"/>
    <w:rsid w:val="007269C5"/>
    <w:rsid w:val="007276F9"/>
    <w:rsid w:val="00733E4D"/>
    <w:rsid w:val="00734623"/>
    <w:rsid w:val="00735DA2"/>
    <w:rsid w:val="00737C7A"/>
    <w:rsid w:val="00740D51"/>
    <w:rsid w:val="00743454"/>
    <w:rsid w:val="0074608B"/>
    <w:rsid w:val="0074629F"/>
    <w:rsid w:val="007478A6"/>
    <w:rsid w:val="00765A68"/>
    <w:rsid w:val="00765D18"/>
    <w:rsid w:val="00766DD2"/>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B4079"/>
    <w:rsid w:val="007B5957"/>
    <w:rsid w:val="007B61B3"/>
    <w:rsid w:val="007B6A71"/>
    <w:rsid w:val="007B6BEA"/>
    <w:rsid w:val="007C1E08"/>
    <w:rsid w:val="007C2AF5"/>
    <w:rsid w:val="007C3101"/>
    <w:rsid w:val="007C4641"/>
    <w:rsid w:val="007C4779"/>
    <w:rsid w:val="007C66CD"/>
    <w:rsid w:val="007C7BE8"/>
    <w:rsid w:val="007D598F"/>
    <w:rsid w:val="007D745D"/>
    <w:rsid w:val="007E05F9"/>
    <w:rsid w:val="007E32F2"/>
    <w:rsid w:val="007E47DE"/>
    <w:rsid w:val="007E552B"/>
    <w:rsid w:val="007E574B"/>
    <w:rsid w:val="007E58DF"/>
    <w:rsid w:val="007F18B2"/>
    <w:rsid w:val="007F2C2D"/>
    <w:rsid w:val="007F2DC5"/>
    <w:rsid w:val="007F7510"/>
    <w:rsid w:val="00804C97"/>
    <w:rsid w:val="00812EDD"/>
    <w:rsid w:val="00813DDD"/>
    <w:rsid w:val="008261E0"/>
    <w:rsid w:val="00830553"/>
    <w:rsid w:val="00832E87"/>
    <w:rsid w:val="0083580E"/>
    <w:rsid w:val="00835C0C"/>
    <w:rsid w:val="00835E78"/>
    <w:rsid w:val="0084201A"/>
    <w:rsid w:val="00843D02"/>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3606"/>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6809"/>
    <w:rsid w:val="0097170A"/>
    <w:rsid w:val="0097212B"/>
    <w:rsid w:val="0097262B"/>
    <w:rsid w:val="0097287C"/>
    <w:rsid w:val="00972B8A"/>
    <w:rsid w:val="00972F3C"/>
    <w:rsid w:val="00980E7D"/>
    <w:rsid w:val="00985D06"/>
    <w:rsid w:val="009860F7"/>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61640"/>
    <w:rsid w:val="00A63BD7"/>
    <w:rsid w:val="00A6559E"/>
    <w:rsid w:val="00A666D3"/>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B8A"/>
    <w:rsid w:val="00AC0A2D"/>
    <w:rsid w:val="00AC0F64"/>
    <w:rsid w:val="00AC28A1"/>
    <w:rsid w:val="00AD0AEE"/>
    <w:rsid w:val="00AD14C6"/>
    <w:rsid w:val="00AD214D"/>
    <w:rsid w:val="00AD3D45"/>
    <w:rsid w:val="00AD623E"/>
    <w:rsid w:val="00AE1B0F"/>
    <w:rsid w:val="00AE4C6E"/>
    <w:rsid w:val="00AE5943"/>
    <w:rsid w:val="00AE5E6A"/>
    <w:rsid w:val="00AE63A4"/>
    <w:rsid w:val="00AE63CB"/>
    <w:rsid w:val="00AF5CA8"/>
    <w:rsid w:val="00AF6BC3"/>
    <w:rsid w:val="00AF769C"/>
    <w:rsid w:val="00B00E42"/>
    <w:rsid w:val="00B022EE"/>
    <w:rsid w:val="00B04FFC"/>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7093"/>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E09F3"/>
    <w:rsid w:val="00BE0AD5"/>
    <w:rsid w:val="00BE5E00"/>
    <w:rsid w:val="00C02BCC"/>
    <w:rsid w:val="00C03578"/>
    <w:rsid w:val="00C048A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65E2"/>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E1523"/>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4AD8"/>
    <w:rsid w:val="00D30E56"/>
    <w:rsid w:val="00D316C6"/>
    <w:rsid w:val="00D35730"/>
    <w:rsid w:val="00D37383"/>
    <w:rsid w:val="00D40D50"/>
    <w:rsid w:val="00D40EF5"/>
    <w:rsid w:val="00D41E84"/>
    <w:rsid w:val="00D43321"/>
    <w:rsid w:val="00D47D73"/>
    <w:rsid w:val="00D575AA"/>
    <w:rsid w:val="00D61D35"/>
    <w:rsid w:val="00D63D1A"/>
    <w:rsid w:val="00D6747D"/>
    <w:rsid w:val="00D724EC"/>
    <w:rsid w:val="00D73BA3"/>
    <w:rsid w:val="00D76052"/>
    <w:rsid w:val="00D83D8B"/>
    <w:rsid w:val="00D846BD"/>
    <w:rsid w:val="00D8529C"/>
    <w:rsid w:val="00D85676"/>
    <w:rsid w:val="00D9068A"/>
    <w:rsid w:val="00D9119F"/>
    <w:rsid w:val="00D96E58"/>
    <w:rsid w:val="00DA1678"/>
    <w:rsid w:val="00DA21EC"/>
    <w:rsid w:val="00DA25AF"/>
    <w:rsid w:val="00DA7A3F"/>
    <w:rsid w:val="00DB0007"/>
    <w:rsid w:val="00DB0A5F"/>
    <w:rsid w:val="00DB2C59"/>
    <w:rsid w:val="00DB40BA"/>
    <w:rsid w:val="00DB686D"/>
    <w:rsid w:val="00DB6E05"/>
    <w:rsid w:val="00DB75E3"/>
    <w:rsid w:val="00DB7BB1"/>
    <w:rsid w:val="00DB7EA2"/>
    <w:rsid w:val="00DC0EF1"/>
    <w:rsid w:val="00DD057A"/>
    <w:rsid w:val="00DD1512"/>
    <w:rsid w:val="00DD40C4"/>
    <w:rsid w:val="00DD4D4C"/>
    <w:rsid w:val="00DD5ACC"/>
    <w:rsid w:val="00DD6CD8"/>
    <w:rsid w:val="00DD7AC4"/>
    <w:rsid w:val="00DE729B"/>
    <w:rsid w:val="00DF21EC"/>
    <w:rsid w:val="00E0094C"/>
    <w:rsid w:val="00E023E1"/>
    <w:rsid w:val="00E072E9"/>
    <w:rsid w:val="00E07846"/>
    <w:rsid w:val="00E12FF9"/>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50F3C"/>
    <w:rsid w:val="00E528C8"/>
    <w:rsid w:val="00E535C2"/>
    <w:rsid w:val="00E57431"/>
    <w:rsid w:val="00E6113E"/>
    <w:rsid w:val="00E635B4"/>
    <w:rsid w:val="00E639AA"/>
    <w:rsid w:val="00E72C00"/>
    <w:rsid w:val="00E72CC7"/>
    <w:rsid w:val="00E731B0"/>
    <w:rsid w:val="00E743C7"/>
    <w:rsid w:val="00E750B6"/>
    <w:rsid w:val="00E76492"/>
    <w:rsid w:val="00E76D68"/>
    <w:rsid w:val="00E80B16"/>
    <w:rsid w:val="00E80B47"/>
    <w:rsid w:val="00E8341F"/>
    <w:rsid w:val="00E854C4"/>
    <w:rsid w:val="00E86F7F"/>
    <w:rsid w:val="00E87221"/>
    <w:rsid w:val="00E90D27"/>
    <w:rsid w:val="00E929EB"/>
    <w:rsid w:val="00E933CD"/>
    <w:rsid w:val="00E945E5"/>
    <w:rsid w:val="00E95D6D"/>
    <w:rsid w:val="00E96A18"/>
    <w:rsid w:val="00EA0C67"/>
    <w:rsid w:val="00EA3A78"/>
    <w:rsid w:val="00EB0155"/>
    <w:rsid w:val="00EB0ADD"/>
    <w:rsid w:val="00EB12D4"/>
    <w:rsid w:val="00EB2DDB"/>
    <w:rsid w:val="00EB5DDB"/>
    <w:rsid w:val="00EB73DF"/>
    <w:rsid w:val="00EC19AA"/>
    <w:rsid w:val="00EC5459"/>
    <w:rsid w:val="00EC5C5F"/>
    <w:rsid w:val="00ED6E76"/>
    <w:rsid w:val="00EE2D10"/>
    <w:rsid w:val="00EE386C"/>
    <w:rsid w:val="00EE4C0B"/>
    <w:rsid w:val="00EE76B3"/>
    <w:rsid w:val="00EF174B"/>
    <w:rsid w:val="00F00FA5"/>
    <w:rsid w:val="00F02617"/>
    <w:rsid w:val="00F02F91"/>
    <w:rsid w:val="00F0311D"/>
    <w:rsid w:val="00F0354F"/>
    <w:rsid w:val="00F10EB5"/>
    <w:rsid w:val="00F116DD"/>
    <w:rsid w:val="00F11D34"/>
    <w:rsid w:val="00F156C9"/>
    <w:rsid w:val="00F22505"/>
    <w:rsid w:val="00F231B7"/>
    <w:rsid w:val="00F24FA8"/>
    <w:rsid w:val="00F257FE"/>
    <w:rsid w:val="00F261B3"/>
    <w:rsid w:val="00F272BA"/>
    <w:rsid w:val="00F30D93"/>
    <w:rsid w:val="00F3344D"/>
    <w:rsid w:val="00F3419D"/>
    <w:rsid w:val="00F350D8"/>
    <w:rsid w:val="00F37B5D"/>
    <w:rsid w:val="00F44559"/>
    <w:rsid w:val="00F4484A"/>
    <w:rsid w:val="00F46914"/>
    <w:rsid w:val="00F5109A"/>
    <w:rsid w:val="00F543E6"/>
    <w:rsid w:val="00F56C8E"/>
    <w:rsid w:val="00F57123"/>
    <w:rsid w:val="00F6014E"/>
    <w:rsid w:val="00F63100"/>
    <w:rsid w:val="00F73A2C"/>
    <w:rsid w:val="00F76785"/>
    <w:rsid w:val="00F77DC4"/>
    <w:rsid w:val="00F80AEC"/>
    <w:rsid w:val="00F82657"/>
    <w:rsid w:val="00F82827"/>
    <w:rsid w:val="00F919B5"/>
    <w:rsid w:val="00F9382F"/>
    <w:rsid w:val="00F94C3D"/>
    <w:rsid w:val="00F94F4C"/>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78A6"/>
    <w:rsid w:val="00FD188E"/>
    <w:rsid w:val="00FD33BD"/>
    <w:rsid w:val="00FD35BC"/>
    <w:rsid w:val="00FD3B23"/>
    <w:rsid w:val="00FD439D"/>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ED6C30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36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pl-PL" w:eastAsia="en-US"/>
    </w:rPr>
  </w:style>
  <w:style w:type="character" w:customStyle="1" w:styleId="Body3Char">
    <w:name w:val="Body 3 Char"/>
    <w:basedOn w:val="DefaultParagraphFont"/>
    <w:uiPriority w:val="99"/>
    <w:rsid w:val="00AD0AEE"/>
    <w:rPr>
      <w:rFonts w:ascii="Tahoma" w:hAnsi="Tahoma" w:cs="Tahoma"/>
      <w:lang w:val="pl-PL"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35568">
      <w:marLeft w:val="0"/>
      <w:marRight w:val="0"/>
      <w:marTop w:val="0"/>
      <w:marBottom w:val="0"/>
      <w:divBdr>
        <w:top w:val="none" w:sz="0" w:space="0" w:color="auto"/>
        <w:left w:val="none" w:sz="0" w:space="0" w:color="auto"/>
        <w:bottom w:val="none" w:sz="0" w:space="0" w:color="auto"/>
        <w:right w:val="none" w:sz="0" w:space="0" w:color="auto"/>
      </w:divBdr>
    </w:div>
    <w:div w:id="1578435569">
      <w:marLeft w:val="0"/>
      <w:marRight w:val="0"/>
      <w:marTop w:val="0"/>
      <w:marBottom w:val="0"/>
      <w:divBdr>
        <w:top w:val="none" w:sz="0" w:space="0" w:color="auto"/>
        <w:left w:val="none" w:sz="0" w:space="0" w:color="auto"/>
        <w:bottom w:val="none" w:sz="0" w:space="0" w:color="auto"/>
        <w:right w:val="none" w:sz="0" w:space="0" w:color="auto"/>
      </w:divBdr>
    </w:div>
    <w:div w:id="1578435570">
      <w:marLeft w:val="0"/>
      <w:marRight w:val="0"/>
      <w:marTop w:val="0"/>
      <w:marBottom w:val="0"/>
      <w:divBdr>
        <w:top w:val="none" w:sz="0" w:space="0" w:color="auto"/>
        <w:left w:val="none" w:sz="0" w:space="0" w:color="auto"/>
        <w:bottom w:val="none" w:sz="0" w:space="0" w:color="auto"/>
        <w:right w:val="none" w:sz="0" w:space="0" w:color="auto"/>
      </w:divBdr>
    </w:div>
    <w:div w:id="1578435571">
      <w:marLeft w:val="0"/>
      <w:marRight w:val="0"/>
      <w:marTop w:val="0"/>
      <w:marBottom w:val="0"/>
      <w:divBdr>
        <w:top w:val="none" w:sz="0" w:space="0" w:color="auto"/>
        <w:left w:val="none" w:sz="0" w:space="0" w:color="auto"/>
        <w:bottom w:val="none" w:sz="0" w:space="0" w:color="auto"/>
        <w:right w:val="none" w:sz="0" w:space="0" w:color="auto"/>
      </w:divBdr>
    </w:div>
    <w:div w:id="1578435572">
      <w:marLeft w:val="0"/>
      <w:marRight w:val="0"/>
      <w:marTop w:val="0"/>
      <w:marBottom w:val="0"/>
      <w:divBdr>
        <w:top w:val="none" w:sz="0" w:space="0" w:color="auto"/>
        <w:left w:val="none" w:sz="0" w:space="0" w:color="auto"/>
        <w:bottom w:val="none" w:sz="0" w:space="0" w:color="auto"/>
        <w:right w:val="none" w:sz="0" w:space="0" w:color="auto"/>
      </w:divBdr>
    </w:div>
    <w:div w:id="1578435573">
      <w:marLeft w:val="0"/>
      <w:marRight w:val="0"/>
      <w:marTop w:val="0"/>
      <w:marBottom w:val="0"/>
      <w:divBdr>
        <w:top w:val="none" w:sz="0" w:space="0" w:color="auto"/>
        <w:left w:val="none" w:sz="0" w:space="0" w:color="auto"/>
        <w:bottom w:val="none" w:sz="0" w:space="0" w:color="auto"/>
        <w:right w:val="none" w:sz="0" w:space="0" w:color="auto"/>
      </w:divBdr>
    </w:div>
    <w:div w:id="1578435574">
      <w:marLeft w:val="0"/>
      <w:marRight w:val="0"/>
      <w:marTop w:val="0"/>
      <w:marBottom w:val="0"/>
      <w:divBdr>
        <w:top w:val="none" w:sz="0" w:space="0" w:color="auto"/>
        <w:left w:val="none" w:sz="0" w:space="0" w:color="auto"/>
        <w:bottom w:val="none" w:sz="0" w:space="0" w:color="auto"/>
        <w:right w:val="none" w:sz="0" w:space="0" w:color="auto"/>
      </w:divBdr>
    </w:div>
    <w:div w:id="1578435575">
      <w:marLeft w:val="0"/>
      <w:marRight w:val="0"/>
      <w:marTop w:val="0"/>
      <w:marBottom w:val="0"/>
      <w:divBdr>
        <w:top w:val="none" w:sz="0" w:space="0" w:color="auto"/>
        <w:left w:val="none" w:sz="0" w:space="0" w:color="auto"/>
        <w:bottom w:val="none" w:sz="0" w:space="0" w:color="auto"/>
        <w:right w:val="none" w:sz="0" w:space="0" w:color="auto"/>
      </w:divBdr>
    </w:div>
    <w:div w:id="1578435576">
      <w:marLeft w:val="0"/>
      <w:marRight w:val="0"/>
      <w:marTop w:val="0"/>
      <w:marBottom w:val="0"/>
      <w:divBdr>
        <w:top w:val="none" w:sz="0" w:space="0" w:color="auto"/>
        <w:left w:val="none" w:sz="0" w:space="0" w:color="auto"/>
        <w:bottom w:val="none" w:sz="0" w:space="0" w:color="auto"/>
        <w:right w:val="none" w:sz="0" w:space="0" w:color="auto"/>
      </w:divBdr>
    </w:div>
    <w:div w:id="1578435579">
      <w:marLeft w:val="0"/>
      <w:marRight w:val="0"/>
      <w:marTop w:val="0"/>
      <w:marBottom w:val="0"/>
      <w:divBdr>
        <w:top w:val="none" w:sz="0" w:space="0" w:color="auto"/>
        <w:left w:val="none" w:sz="0" w:space="0" w:color="auto"/>
        <w:bottom w:val="none" w:sz="0" w:space="0" w:color="auto"/>
        <w:right w:val="none" w:sz="0" w:space="0" w:color="auto"/>
      </w:divBdr>
    </w:div>
    <w:div w:id="1578435581">
      <w:marLeft w:val="0"/>
      <w:marRight w:val="0"/>
      <w:marTop w:val="0"/>
      <w:marBottom w:val="0"/>
      <w:divBdr>
        <w:top w:val="none" w:sz="0" w:space="0" w:color="auto"/>
        <w:left w:val="none" w:sz="0" w:space="0" w:color="auto"/>
        <w:bottom w:val="none" w:sz="0" w:space="0" w:color="auto"/>
        <w:right w:val="none" w:sz="0" w:space="0" w:color="auto"/>
      </w:divBdr>
      <w:divsChild>
        <w:div w:id="1578435577">
          <w:marLeft w:val="0"/>
          <w:marRight w:val="0"/>
          <w:marTop w:val="0"/>
          <w:marBottom w:val="0"/>
          <w:divBdr>
            <w:top w:val="none" w:sz="0" w:space="0" w:color="auto"/>
            <w:left w:val="none" w:sz="0" w:space="0" w:color="auto"/>
            <w:bottom w:val="none" w:sz="0" w:space="0" w:color="auto"/>
            <w:right w:val="none" w:sz="0" w:space="0" w:color="auto"/>
          </w:divBdr>
          <w:divsChild>
            <w:div w:id="1578435578">
              <w:marLeft w:val="0"/>
              <w:marRight w:val="0"/>
              <w:marTop w:val="0"/>
              <w:marBottom w:val="0"/>
              <w:divBdr>
                <w:top w:val="none" w:sz="0" w:space="0" w:color="auto"/>
                <w:left w:val="none" w:sz="0" w:space="0" w:color="auto"/>
                <w:bottom w:val="none" w:sz="0" w:space="0" w:color="auto"/>
                <w:right w:val="none" w:sz="0" w:space="0" w:color="auto"/>
              </w:divBdr>
              <w:divsChild>
                <w:div w:id="15784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5582">
      <w:marLeft w:val="0"/>
      <w:marRight w:val="0"/>
      <w:marTop w:val="0"/>
      <w:marBottom w:val="0"/>
      <w:divBdr>
        <w:top w:val="none" w:sz="0" w:space="0" w:color="auto"/>
        <w:left w:val="none" w:sz="0" w:space="0" w:color="auto"/>
        <w:bottom w:val="none" w:sz="0" w:space="0" w:color="auto"/>
        <w:right w:val="none" w:sz="0" w:space="0" w:color="auto"/>
      </w:divBdr>
    </w:div>
    <w:div w:id="1578435583">
      <w:marLeft w:val="0"/>
      <w:marRight w:val="0"/>
      <w:marTop w:val="0"/>
      <w:marBottom w:val="0"/>
      <w:divBdr>
        <w:top w:val="none" w:sz="0" w:space="0" w:color="auto"/>
        <w:left w:val="none" w:sz="0" w:space="0" w:color="auto"/>
        <w:bottom w:val="none" w:sz="0" w:space="0" w:color="auto"/>
        <w:right w:val="none" w:sz="0" w:space="0" w:color="auto"/>
      </w:divBdr>
    </w:div>
    <w:div w:id="1578435584">
      <w:marLeft w:val="0"/>
      <w:marRight w:val="0"/>
      <w:marTop w:val="0"/>
      <w:marBottom w:val="0"/>
      <w:divBdr>
        <w:top w:val="none" w:sz="0" w:space="0" w:color="auto"/>
        <w:left w:val="none" w:sz="0" w:space="0" w:color="auto"/>
        <w:bottom w:val="none" w:sz="0" w:space="0" w:color="auto"/>
        <w:right w:val="none" w:sz="0" w:space="0" w:color="auto"/>
      </w:divBdr>
    </w:div>
    <w:div w:id="1578435585">
      <w:marLeft w:val="0"/>
      <w:marRight w:val="0"/>
      <w:marTop w:val="0"/>
      <w:marBottom w:val="0"/>
      <w:divBdr>
        <w:top w:val="none" w:sz="0" w:space="0" w:color="auto"/>
        <w:left w:val="none" w:sz="0" w:space="0" w:color="auto"/>
        <w:bottom w:val="none" w:sz="0" w:space="0" w:color="auto"/>
        <w:right w:val="none" w:sz="0" w:space="0" w:color="auto"/>
      </w:divBdr>
    </w:div>
    <w:div w:id="1578435586">
      <w:marLeft w:val="0"/>
      <w:marRight w:val="0"/>
      <w:marTop w:val="0"/>
      <w:marBottom w:val="0"/>
      <w:divBdr>
        <w:top w:val="none" w:sz="0" w:space="0" w:color="auto"/>
        <w:left w:val="none" w:sz="0" w:space="0" w:color="auto"/>
        <w:bottom w:val="none" w:sz="0" w:space="0" w:color="auto"/>
        <w:right w:val="none" w:sz="0" w:space="0" w:color="auto"/>
      </w:divBdr>
    </w:div>
    <w:div w:id="1578435587">
      <w:marLeft w:val="0"/>
      <w:marRight w:val="0"/>
      <w:marTop w:val="0"/>
      <w:marBottom w:val="0"/>
      <w:divBdr>
        <w:top w:val="none" w:sz="0" w:space="0" w:color="auto"/>
        <w:left w:val="none" w:sz="0" w:space="0" w:color="auto"/>
        <w:bottom w:val="none" w:sz="0" w:space="0" w:color="auto"/>
        <w:right w:val="none" w:sz="0" w:space="0" w:color="auto"/>
      </w:divBdr>
    </w:div>
    <w:div w:id="1578435588">
      <w:marLeft w:val="0"/>
      <w:marRight w:val="0"/>
      <w:marTop w:val="0"/>
      <w:marBottom w:val="0"/>
      <w:divBdr>
        <w:top w:val="none" w:sz="0" w:space="0" w:color="auto"/>
        <w:left w:val="none" w:sz="0" w:space="0" w:color="auto"/>
        <w:bottom w:val="none" w:sz="0" w:space="0" w:color="auto"/>
        <w:right w:val="none" w:sz="0" w:space="0" w:color="auto"/>
      </w:divBdr>
    </w:div>
    <w:div w:id="1578435589">
      <w:marLeft w:val="0"/>
      <w:marRight w:val="0"/>
      <w:marTop w:val="0"/>
      <w:marBottom w:val="0"/>
      <w:divBdr>
        <w:top w:val="none" w:sz="0" w:space="0" w:color="auto"/>
        <w:left w:val="none" w:sz="0" w:space="0" w:color="auto"/>
        <w:bottom w:val="none" w:sz="0" w:space="0" w:color="auto"/>
        <w:right w:val="none" w:sz="0" w:space="0" w:color="auto"/>
      </w:divBdr>
    </w:div>
    <w:div w:id="1578435590">
      <w:marLeft w:val="0"/>
      <w:marRight w:val="0"/>
      <w:marTop w:val="0"/>
      <w:marBottom w:val="0"/>
      <w:divBdr>
        <w:top w:val="none" w:sz="0" w:space="0" w:color="auto"/>
        <w:left w:val="none" w:sz="0" w:space="0" w:color="auto"/>
        <w:bottom w:val="none" w:sz="0" w:space="0" w:color="auto"/>
        <w:right w:val="none" w:sz="0" w:space="0" w:color="auto"/>
      </w:divBdr>
    </w:div>
    <w:div w:id="1578435591">
      <w:marLeft w:val="0"/>
      <w:marRight w:val="0"/>
      <w:marTop w:val="0"/>
      <w:marBottom w:val="0"/>
      <w:divBdr>
        <w:top w:val="none" w:sz="0" w:space="0" w:color="auto"/>
        <w:left w:val="none" w:sz="0" w:space="0" w:color="auto"/>
        <w:bottom w:val="none" w:sz="0" w:space="0" w:color="auto"/>
        <w:right w:val="none" w:sz="0" w:space="0" w:color="auto"/>
      </w:divBdr>
    </w:div>
    <w:div w:id="1578435592">
      <w:marLeft w:val="0"/>
      <w:marRight w:val="0"/>
      <w:marTop w:val="0"/>
      <w:marBottom w:val="0"/>
      <w:divBdr>
        <w:top w:val="none" w:sz="0" w:space="0" w:color="auto"/>
        <w:left w:val="none" w:sz="0" w:space="0" w:color="auto"/>
        <w:bottom w:val="none" w:sz="0" w:space="0" w:color="auto"/>
        <w:right w:val="none" w:sz="0" w:space="0" w:color="auto"/>
      </w:divBdr>
    </w:div>
    <w:div w:id="1578435593">
      <w:marLeft w:val="0"/>
      <w:marRight w:val="0"/>
      <w:marTop w:val="0"/>
      <w:marBottom w:val="0"/>
      <w:divBdr>
        <w:top w:val="none" w:sz="0" w:space="0" w:color="auto"/>
        <w:left w:val="none" w:sz="0" w:space="0" w:color="auto"/>
        <w:bottom w:val="none" w:sz="0" w:space="0" w:color="auto"/>
        <w:right w:val="none" w:sz="0" w:space="0" w:color="auto"/>
      </w:divBdr>
    </w:div>
    <w:div w:id="1578435594">
      <w:marLeft w:val="0"/>
      <w:marRight w:val="0"/>
      <w:marTop w:val="0"/>
      <w:marBottom w:val="0"/>
      <w:divBdr>
        <w:top w:val="none" w:sz="0" w:space="0" w:color="auto"/>
        <w:left w:val="none" w:sz="0" w:space="0" w:color="auto"/>
        <w:bottom w:val="none" w:sz="0" w:space="0" w:color="auto"/>
        <w:right w:val="none" w:sz="0" w:space="0" w:color="auto"/>
      </w:divBdr>
      <w:divsChild>
        <w:div w:id="1578435596">
          <w:marLeft w:val="0"/>
          <w:marRight w:val="0"/>
          <w:marTop w:val="0"/>
          <w:marBottom w:val="0"/>
          <w:divBdr>
            <w:top w:val="none" w:sz="0" w:space="0" w:color="auto"/>
            <w:left w:val="none" w:sz="0" w:space="0" w:color="auto"/>
            <w:bottom w:val="none" w:sz="0" w:space="0" w:color="auto"/>
            <w:right w:val="none" w:sz="0" w:space="0" w:color="auto"/>
          </w:divBdr>
        </w:div>
      </w:divsChild>
    </w:div>
    <w:div w:id="1578435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309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hyperlink" Target="http://www.microsoft.com/exporting" TargetMode="External"/><Relationship Id="rId2" Type="http://schemas.openxmlformats.org/officeDocument/2006/relationships/customXml" Target="../customXml/item2.xml"/><Relationship Id="rId16" Type="http://schemas.openxmlformats.org/officeDocument/2006/relationships/hyperlink" Target="http://Beca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5" TargetMode="External"/><Relationship Id="rId5" Type="http://schemas.openxmlformats.org/officeDocument/2006/relationships/numbering" Target="numbering.xml"/><Relationship Id="rId15" Type="http://schemas.openxmlformats.org/officeDocument/2006/relationships/hyperlink" Target="http://go.microsoft.com/?linkid=984073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07b0319e555514abb4332b16b6ce2f1c">
  <xsd:schema xmlns:xsd="http://www.w3.org/2001/XMLSchema" xmlns:xs="http://www.w3.org/2001/XMLSchema" xmlns:p="http://schemas.microsoft.com/office/2006/metadata/properties" xmlns:ns2="e1b1b7f3-b10e-48cd-877c-282d356c300a" targetNamespace="http://schemas.microsoft.com/office/2006/metadata/properties" ma:root="true" ma:fieldsID="57fa9fa38a73d56a0d9d2a17f036f37b"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3F8F-087D-4215-9F54-9037DC3C2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276FB-A70C-4A32-938A-F77721B88DA0}">
  <ds:schemaRef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e1b1b7f3-b10e-48cd-877c-282d356c300a"/>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7E79E9B-4465-47D6-9CFC-2DA984D0408D}">
  <ds:schemaRefs>
    <ds:schemaRef ds:uri="http://schemas.microsoft.com/sharepoint/v3/contenttype/forms"/>
  </ds:schemaRefs>
</ds:datastoreItem>
</file>

<file path=customXml/itemProps4.xml><?xml version="1.0" encoding="utf-8"?>
<ds:datastoreItem xmlns:ds="http://schemas.openxmlformats.org/officeDocument/2006/customXml" ds:itemID="{1A37CF74-C630-4594-8F5D-0C70D9CD35AA}">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40499</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5</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0x010100EA435CC6EA8BD841AC740EA94DDF8D1E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Ref">
    <vt:lpwstr>https://api.informationprotection.azure.com/api/72f988bf-86f1-41af-91ab-2d7cd011db47</vt:lpwstr>
  </property>
  <property fmtid="{D5CDD505-2E9C-101B-9397-08002B2CF9AE}" pid="6" name="MSIP_Label_f42aa342-8706-4288-bd11-ebb85995028c_Owner">
    <vt:lpwstr>kathan@microsoft.com</vt:lpwstr>
  </property>
  <property fmtid="{D5CDD505-2E9C-101B-9397-08002B2CF9AE}" pid="7" name="MSIP_Label_f42aa342-8706-4288-bd11-ebb85995028c_SetDate">
    <vt:lpwstr>2017-09-05T13:37:40.9096802-07:00</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