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2B" w:rsidRPr="00A16BD5" w:rsidRDefault="00431D2B" w:rsidP="00431D2B">
      <w:pPr>
        <w:pStyle w:val="HeadingEULA"/>
        <w:widowControl w:val="0"/>
        <w:rPr>
          <w:rFonts w:eastAsia="SimSun"/>
          <w:sz w:val="19"/>
          <w:szCs w:val="19"/>
        </w:rPr>
      </w:pPr>
      <w:r>
        <w:rPr>
          <w:sz w:val="19"/>
          <w:szCs w:val="19"/>
        </w:rPr>
        <w:t>CONTRATTO DI LICENZA PER IL SOFTWARE MICROSOFT</w:t>
      </w:r>
    </w:p>
    <w:p w:rsidR="00431D2B" w:rsidRPr="00A16BD5" w:rsidRDefault="00431D2B" w:rsidP="006B2A67">
      <w:pPr>
        <w:pStyle w:val="HeadingSoftwareTitle"/>
        <w:widowControl w:val="0"/>
        <w:rPr>
          <w:rFonts w:eastAsia="SimSun"/>
          <w:sz w:val="19"/>
          <w:szCs w:val="19"/>
        </w:rPr>
      </w:pPr>
      <w:r>
        <w:rPr>
          <w:sz w:val="19"/>
          <w:szCs w:val="19"/>
        </w:rPr>
        <w:t xml:space="preserve">MICROSOFT VISUAL STUDIO ENTERPRISE 2017, VISUAL STUDIO PROFESSIONAL 2017, </w:t>
      </w:r>
      <w:r>
        <w:rPr>
          <w:sz w:val="19"/>
          <w:szCs w:val="19"/>
        </w:rPr>
        <w:br/>
        <w:t>VISUAL STUDIO TEST PROFESSIONAL 2017 ED EDIZIONE DI VALUTAZIONE</w:t>
      </w:r>
    </w:p>
    <w:p w:rsidR="00431D2B" w:rsidRPr="00A16BD5" w:rsidRDefault="00431D2B" w:rsidP="0005493C">
      <w:pPr>
        <w:rPr>
          <w:rFonts w:eastAsia="SimSun"/>
        </w:rPr>
      </w:pPr>
      <w:r>
        <w:t xml:space="preserve">Le presenti condizioni di licenza costituiscono il contratto tra il licenziatario e Microsoft Corporation (o, in base al luogo di residenza del licenziatario, una delle sue consociate). Tali condizioni si applicano al software Microsoft di cui sopra. Si applicano inoltre a qualsiasi servizio e aggiornamento di Microsoft relativo al software, a meno che questi non siano accompagnati da condizioni differenti. </w:t>
      </w:r>
    </w:p>
    <w:p w:rsidR="00431D2B" w:rsidRPr="00A16BD5" w:rsidRDefault="00431D2B" w:rsidP="0005493C">
      <w:pPr>
        <w:pStyle w:val="Preamble"/>
        <w:widowControl w:val="0"/>
        <w:spacing w:before="0" w:after="0"/>
        <w:rPr>
          <w:rFonts w:eastAsia="SimSun"/>
        </w:rPr>
      </w:pPr>
      <w:r>
        <w:t>UTILIZZANDO IL SOFTWARE, IL LICENZIATARIO ACCETTA LE PRESENTI CONDIZIONI. QUALORA IL LICENZIATARIO NON LE ACCETTI, NON POTRÀ UTILIZZARE IL SOFTWARE DOVRÀ INVECE RESTITUIRLO PRONTAMENTE AL RIVENDITORE PER OTTENERE IL RIMBORSO DEL PREZZO.</w:t>
      </w:r>
      <w:r>
        <w:rPr>
          <w:b w:val="0"/>
          <w:bCs w:val="0"/>
        </w:rPr>
        <w:t xml:space="preserve"> Qualora non sia possibile ottenere il rimborso, il licenziatario può ricevere informazioni in merito alle diverse condizioni di rimborso stabilite da Microsoft contattando direttamente Microsoft. visitando la pagina </w:t>
      </w:r>
      <w:r>
        <w:rPr>
          <w:rStyle w:val="Hyperlink"/>
          <w:b w:val="0"/>
          <w:bCs w:val="0"/>
          <w:color w:val="auto"/>
          <w:u w:val="none"/>
        </w:rPr>
        <w:t>www.microsoft.com/worldwide</w:t>
      </w:r>
      <w:r>
        <w:rPr>
          <w:b w:val="0"/>
          <w:bCs w:val="0"/>
        </w:rPr>
        <w:t>. Negli Stati Uniti e in Canada il licenziatario deve contattare il numero (800) MICROSOFT o visitare la pagina all’indirizzo www.microsoft.com/info/nareturns.htm.</w:t>
      </w:r>
      <w:r>
        <w:t xml:space="preserve"> </w:t>
      </w:r>
    </w:p>
    <w:p w:rsidR="007B61B3" w:rsidRPr="00F75C3A" w:rsidRDefault="005D6548" w:rsidP="00462F7B">
      <w:pPr>
        <w:pStyle w:val="Preamble"/>
        <w:tabs>
          <w:tab w:val="left" w:leader="underscore" w:pos="9360"/>
        </w:tabs>
        <w:spacing w:before="0" w:after="0"/>
        <w:rPr>
          <w:b w:val="0"/>
        </w:rPr>
      </w:pPr>
      <w:r>
        <w:rPr>
          <w:b w:val="0"/>
        </w:rPr>
        <w:tab/>
      </w:r>
    </w:p>
    <w:p w:rsidR="00B43CFA" w:rsidRPr="00A16BD5" w:rsidRDefault="00B43CFA" w:rsidP="008C55BE">
      <w:pPr>
        <w:pStyle w:val="Heading1"/>
        <w:numPr>
          <w:ilvl w:val="0"/>
          <w:numId w:val="0"/>
        </w:numPr>
        <w:rPr>
          <w:b w:val="0"/>
          <w:bCs w:val="0"/>
        </w:rPr>
      </w:pPr>
      <w:r>
        <w:t xml:space="preserve">DIRITTI SULL’UTILIZZO PER L’EDIZIONE DI VALUTAZIONE. </w:t>
      </w:r>
      <w:r>
        <w:rPr>
          <w:b w:val="0"/>
          <w:bCs w:val="0"/>
        </w:rPr>
        <w:t xml:space="preserve">Qualora il software sia un’edizione di valutazione, il presente Articolo si applica all’edizione di valutazione del licenziatario. </w:t>
      </w:r>
    </w:p>
    <w:p w:rsidR="00B43CFA" w:rsidRPr="00F75C3A" w:rsidRDefault="00C265F3" w:rsidP="001D3A43">
      <w:pPr>
        <w:pStyle w:val="Heading1"/>
        <w:numPr>
          <w:ilvl w:val="0"/>
          <w:numId w:val="12"/>
        </w:numPr>
        <w:rPr>
          <w:b w:val="0"/>
          <w:bCs w:val="0"/>
        </w:rPr>
      </w:pPr>
      <w:r>
        <w:t xml:space="preserve">IN GENERALE. </w:t>
      </w:r>
      <w:r>
        <w:rPr>
          <w:b w:val="0"/>
          <w:bCs w:val="0"/>
        </w:rPr>
        <w:t xml:space="preserve">Il licenziatario potrà utilizzare un numero qualsiasi di copie dell’edizione di prova sui propri dispositivi. Il licenziatario potrà utilizzare tale edizione solamente a scopo di valutazione interna e solo durante il periodo di valutazione. Il licenziatario non potrà distribuire in un ambiente di produzione alcuna applicazione creata mediante l’edizione di valutazione. Il licenziatario potrà eseguire test di carico di un massimo di 250 utenti virtuali durante il periodo di valutazione. </w:t>
      </w:r>
    </w:p>
    <w:p w:rsidR="00AE4C6E" w:rsidRPr="00F75C3A" w:rsidRDefault="00B43CFA" w:rsidP="001D3A43">
      <w:pPr>
        <w:pStyle w:val="ListParagraph"/>
        <w:numPr>
          <w:ilvl w:val="0"/>
          <w:numId w:val="12"/>
        </w:numPr>
        <w:rPr>
          <w:b/>
        </w:rPr>
      </w:pPr>
      <w:r>
        <w:rPr>
          <w:b/>
        </w:rPr>
        <w:t>PERIODO DI VALUTAZIONE E CONVERSIONE.</w:t>
      </w:r>
      <w:r>
        <w:t xml:space="preserve"> La durata del periodo di valutazione è di 30 giorni dall’installazione dell’edizione di valutazione, più un eventuale periodo di estensione consentito. Alla scadenza di tale periodo, l’edizione di valutazione cesserà di funzionare. Il licenziatario potrà prolungare il periodo di valutazione di ulteriori 90 giorni effettuando l’accesso al software. Il licenziatario potrebbe non essere in grado di accedere ai dati utilizzati con l’edizione di valutazione quando questa cesserà di funzionare. In qualsiasi momento il licenziatario potrà convertire i diritti di valutazione nei diritti di utilizzo completo di seguito descritti acquistando una licenza per l’utilizzo completo valida. </w:t>
      </w:r>
    </w:p>
    <w:p w:rsidR="007B61B3" w:rsidRPr="00F75C3A" w:rsidRDefault="007B61B3" w:rsidP="001D3A43">
      <w:pPr>
        <w:pStyle w:val="Heading1"/>
        <w:numPr>
          <w:ilvl w:val="0"/>
          <w:numId w:val="8"/>
        </w:numPr>
        <w:rPr>
          <w:caps/>
        </w:rPr>
      </w:pPr>
      <w:r>
        <w:rPr>
          <w:caps/>
        </w:rPr>
        <w:t>Esclusione di Garanzie. L’EDIZIONE DI VALUTAZIONE è concessa in licenza "così com'è". Il licenziatario si assume ogni rischio derivante dall’utilizzo del software. Non vengono fornite garanzie o condizioni esplicite. Nella misura massima consentita dalla legge locale, Microsoft esclude eventuali garanzie implicite di commerciabilità (qualità non inferiore alla media), adeguatezza per uno scopo specifico e non violazione di diritti di terzi</w:t>
      </w:r>
      <w:r>
        <w:t>.</w:t>
      </w:r>
    </w:p>
    <w:p w:rsidR="00126816" w:rsidRPr="00F75C3A" w:rsidRDefault="00126816" w:rsidP="002E2EB2">
      <w:pPr>
        <w:pStyle w:val="Body1"/>
        <w:ind w:left="714"/>
        <w:rPr>
          <w:b/>
          <w:bCs/>
          <w:caps/>
        </w:rPr>
      </w:pPr>
      <w:r>
        <w:rPr>
          <w:b/>
          <w:bCs/>
          <w:caps/>
        </w:rPr>
        <w:t>PER L’AUSTRALIA: il licenziatario è soggetto alle garanzie di legge previste ai sensi della Legge Australiana a Tutela dei Consumatori (Australian Consumer Law) e nessuna disposizione contenuta nelle presenti condizioni influisce su tali diritti.</w:t>
      </w:r>
    </w:p>
    <w:p w:rsidR="007B61B3" w:rsidRPr="00F6165D" w:rsidRDefault="00BB1860" w:rsidP="003D15FA">
      <w:pPr>
        <w:pStyle w:val="Heading1"/>
        <w:numPr>
          <w:ilvl w:val="0"/>
          <w:numId w:val="8"/>
        </w:numPr>
        <w:rPr>
          <w:b w:val="0"/>
          <w:bCs w:val="0"/>
        </w:rPr>
      </w:pPr>
      <w:r>
        <w:t>SUPPORTO.</w:t>
      </w:r>
      <w:r>
        <w:rPr>
          <w:b w:val="0"/>
          <w:bCs w:val="0"/>
        </w:rPr>
        <w:t xml:space="preserve"> Poiché l’edizione di valutazione viene fornita “com’è”, non è prevista l’erogazione di servizi di supporto tecnico da parte di Microsoft.</w:t>
      </w:r>
    </w:p>
    <w:p w:rsidR="007B61B3" w:rsidRPr="003D15FA" w:rsidRDefault="007B61B3" w:rsidP="003D15FA">
      <w:pPr>
        <w:pStyle w:val="Heading1"/>
        <w:numPr>
          <w:ilvl w:val="0"/>
          <w:numId w:val="8"/>
        </w:numPr>
        <w:rPr>
          <w:b w:val="0"/>
          <w:bCs w:val="0"/>
        </w:rPr>
      </w:pPr>
      <w:r>
        <w:rPr>
          <w:caps/>
        </w:rPr>
        <w:t>Limitazioni relative ai Danni. Il licenziatario può richiedere a Microsoft e ai suoi fornitori il solo risarcimento per i danni diretti nel limite di cinque dollari $5,00. Il licenziatario non potrà richiedere il risarcimento per eventuali altri danni, inclusi i danni consequenziali, speciali, indiretti o incidentali o relativi alla perdita di profitti.</w:t>
      </w:r>
    </w:p>
    <w:p w:rsidR="007B61B3" w:rsidRPr="00F6165D" w:rsidRDefault="007B61B3" w:rsidP="00F125D4">
      <w:pPr>
        <w:pStyle w:val="Body1"/>
        <w:ind w:left="714"/>
      </w:pPr>
      <w:r>
        <w:t>Questa limitazione si applica (a) a qualsiasi questione relativa alla versione di valutazione, ai servizi, al contenuto (incluso il codice) sui siti Internet o nei programmi di terzi e (b) ai reclami relativi a inadempimento contrattuale, inadempimento delle garanzie o delle condizioni, responsabilità oggettiva, negligenza o altro illecito civile nella misura massima consentita dalla legge applicabile.</w:t>
      </w:r>
    </w:p>
    <w:p w:rsidR="00B2530B" w:rsidRPr="00F6165D" w:rsidRDefault="007B61B3" w:rsidP="00334264">
      <w:pPr>
        <w:ind w:left="720" w:hanging="6"/>
      </w:pPr>
      <w:r>
        <w:t xml:space="preserve">Tale limitazione si applica anche nel caso in cui Microsoft era informata o avrebbe dovuto essere informata della possibilità del verificarsi di tali danni. La limitazione o l’esclusione indicata sopra potrebbe non essere </w:t>
      </w:r>
      <w:r>
        <w:lastRenderedPageBreak/>
        <w:t>applicabile nei confronti del licenziatario nel caso in cui le leggi del paese di residenza del licenziatario non consentano le esclusioni o limitazioni di responsabilità per danni incidentali, consequenziali o altri danni.</w:t>
      </w:r>
    </w:p>
    <w:p w:rsidR="005A5C7A" w:rsidRPr="00A16BD5" w:rsidRDefault="005A5C7A" w:rsidP="008A2696">
      <w:pPr>
        <w:ind w:left="720" w:hanging="6"/>
        <w:rPr>
          <w:rFonts w:eastAsia="SimSun"/>
          <w:b/>
          <w:bCs/>
        </w:rPr>
      </w:pPr>
    </w:p>
    <w:p w:rsidR="005A640D" w:rsidRPr="00A16BD5" w:rsidRDefault="00460D02" w:rsidP="007B61B3">
      <w:pPr>
        <w:pStyle w:val="PreambleBorderAbove"/>
        <w:widowControl w:val="0"/>
        <w:rPr>
          <w:b w:val="0"/>
        </w:rPr>
      </w:pPr>
      <w:r>
        <w:t xml:space="preserve">CONDIZIONI DI LICENZA PER L’UTILIZZO COMPLETO DEL SOFTWARE: </w:t>
      </w:r>
      <w:r>
        <w:rPr>
          <w:b w:val="0"/>
        </w:rPr>
        <w:t xml:space="preserve">quando il licenziatario acquisisce una licenza valida e immette un codice Product Key o accede al software, si applicano le condizioni riportare di seguito. Il licenziatario non potrà condividere il codice Product Key né le credenziali di accesso. </w:t>
      </w:r>
    </w:p>
    <w:p w:rsidR="007B61B3" w:rsidRPr="00A16BD5" w:rsidRDefault="007B61B3" w:rsidP="007B61B3">
      <w:pPr>
        <w:pStyle w:val="Heading1"/>
        <w:widowControl w:val="0"/>
        <w:ind w:left="360" w:hanging="360"/>
        <w:rPr>
          <w:rFonts w:eastAsia="SimSun"/>
        </w:rPr>
      </w:pPr>
      <w:r>
        <w:t>PANORAMICA</w:t>
      </w:r>
    </w:p>
    <w:p w:rsidR="007B61B3" w:rsidRPr="00A16BD5" w:rsidRDefault="007B61B3" w:rsidP="001142D7">
      <w:pPr>
        <w:pStyle w:val="Heading2"/>
        <w:widowControl w:val="0"/>
        <w:tabs>
          <w:tab w:val="clear" w:pos="1533"/>
          <w:tab w:val="num" w:pos="720"/>
        </w:tabs>
        <w:ind w:left="720" w:hanging="360"/>
        <w:rPr>
          <w:rFonts w:eastAsia="SimSun"/>
          <w:b w:val="0"/>
        </w:rPr>
      </w:pPr>
      <w:r>
        <w:t xml:space="preserve">Software. </w:t>
      </w:r>
      <w:r>
        <w:rPr>
          <w:b w:val="0"/>
          <w:bCs w:val="0"/>
        </w:rPr>
        <w:t>Il software include strumenti di sviluppo, applicazioni e documentazione.</w:t>
      </w:r>
    </w:p>
    <w:p w:rsidR="007B61B3" w:rsidRPr="00A16BD5" w:rsidRDefault="007B61B3" w:rsidP="001142D7">
      <w:pPr>
        <w:pStyle w:val="Heading2"/>
        <w:widowControl w:val="0"/>
        <w:ind w:left="720" w:hanging="360"/>
        <w:rPr>
          <w:rFonts w:eastAsia="SimSun"/>
          <w:b w:val="0"/>
        </w:rPr>
      </w:pPr>
      <w:r>
        <w:t xml:space="preserve">Modello di Licenza. </w:t>
      </w:r>
      <w:r>
        <w:rPr>
          <w:b w:val="0"/>
          <w:bCs w:val="0"/>
        </w:rPr>
        <w:t>Il software è concesso in licenza nella modalità Per utente.</w:t>
      </w:r>
    </w:p>
    <w:p w:rsidR="007B61B3" w:rsidRPr="00A16BD5" w:rsidRDefault="007B61B3" w:rsidP="007B61B3">
      <w:pPr>
        <w:pStyle w:val="Heading1"/>
        <w:widowControl w:val="0"/>
        <w:ind w:left="360" w:hanging="360"/>
        <w:rPr>
          <w:rFonts w:eastAsia="SimSun"/>
        </w:rPr>
      </w:pPr>
      <w:r>
        <w:t>DIRITTI SULL'UTILIZZO.</w:t>
      </w:r>
    </w:p>
    <w:p w:rsidR="00C8775E" w:rsidRPr="00A16BD5" w:rsidRDefault="009C45CA" w:rsidP="001142D7">
      <w:pPr>
        <w:pStyle w:val="Heading2"/>
        <w:widowControl w:val="0"/>
        <w:tabs>
          <w:tab w:val="clear" w:pos="1533"/>
          <w:tab w:val="num" w:pos="720"/>
        </w:tabs>
        <w:ind w:left="720" w:hanging="360"/>
        <w:rPr>
          <w:rFonts w:eastAsia="SimSun"/>
          <w:b w:val="0"/>
          <w:bCs w:val="0"/>
        </w:rPr>
      </w:pPr>
      <w:r>
        <w:t xml:space="preserve">Generale. </w:t>
      </w:r>
      <w:r>
        <w:rPr>
          <w:b w:val="0"/>
          <w:bCs w:val="0"/>
        </w:rPr>
        <w:t>Un utente potrà utilizzare copie del software sui dispositivi del licenziatario per sviluppare e testare le applicazioni. Ciò include l’utilizzo di copie del software sui server interni del licenziatario che rimangono completamente dedicati a un utilizzo personale. Il licenziatario non potrà tuttavia separare i componenti del software per eseguirli in un ambiente di produzione o su dispositivi di terzi (fatto salvo quanto diversamente specificato nel presente contratto) o per qualsivoglia altro scopo che non sia lo sviluppo e il test delle applicazioni. L’esecuzione del software su Microsoft Azure richiede una licenza separata.</w:t>
      </w:r>
    </w:p>
    <w:p w:rsidR="00F774A9" w:rsidRPr="00A16BD5" w:rsidRDefault="003F57F8" w:rsidP="001142D7">
      <w:pPr>
        <w:pStyle w:val="Heading2"/>
        <w:widowControl w:val="0"/>
        <w:tabs>
          <w:tab w:val="clear" w:pos="1533"/>
          <w:tab w:val="num" w:pos="720"/>
        </w:tabs>
        <w:ind w:left="720" w:hanging="360"/>
        <w:rPr>
          <w:rFonts w:eastAsia="SimSun"/>
          <w:b w:val="0"/>
          <w:bCs w:val="0"/>
        </w:rPr>
      </w:pPr>
      <w:r>
        <w:t>Carichi di Lavoro.</w:t>
      </w:r>
      <w:r>
        <w:rPr>
          <w:b w:val="0"/>
          <w:bCs w:val="0"/>
        </w:rPr>
        <w:t xml:space="preserve"> Le presenti condizioni di licenza si applicano all’utilizzo da parte del licenziatario dei Carichi di Lavoro resi disponibili all’interno del software,</w:t>
      </w:r>
      <w:r>
        <w:t xml:space="preserve"> </w:t>
      </w:r>
      <w:r>
        <w:rPr>
          <w:b w:val="0"/>
        </w:rPr>
        <w:t>a meno che un Carico di Lavoro o un componente di un Carico di Lavoro non venga fornito con condizioni specifiche.</w:t>
      </w:r>
    </w:p>
    <w:p w:rsidR="004105CE" w:rsidRPr="00A16BD5" w:rsidRDefault="004105CE" w:rsidP="001142D7">
      <w:pPr>
        <w:pStyle w:val="Heading2"/>
        <w:widowControl w:val="0"/>
        <w:tabs>
          <w:tab w:val="clear" w:pos="1533"/>
          <w:tab w:val="num" w:pos="720"/>
        </w:tabs>
        <w:ind w:left="720" w:hanging="360"/>
        <w:rPr>
          <w:rFonts w:eastAsia="SimSun"/>
          <w:b w:val="0"/>
          <w:bCs w:val="0"/>
        </w:rPr>
      </w:pPr>
      <w:r>
        <w:t>Utilizzo Dimostrativo</w:t>
      </w:r>
      <w:r>
        <w:rPr>
          <w:b w:val="0"/>
          <w:bCs w:val="0"/>
        </w:rPr>
        <w:t>. L’utilizzo consentito sopra include l’uso del software per fornire una dimostrazione delle applicazioni del licenziatario.</w:t>
      </w:r>
    </w:p>
    <w:p w:rsidR="00B02582" w:rsidRPr="00A16BD5" w:rsidRDefault="00B02582" w:rsidP="001142D7">
      <w:pPr>
        <w:pStyle w:val="Heading2"/>
        <w:widowControl w:val="0"/>
        <w:tabs>
          <w:tab w:val="clear" w:pos="1533"/>
          <w:tab w:val="num" w:pos="720"/>
        </w:tabs>
        <w:ind w:left="720" w:hanging="360"/>
        <w:rPr>
          <w:rFonts w:eastAsia="SimSun"/>
          <w:b w:val="0"/>
          <w:bCs w:val="0"/>
        </w:rPr>
      </w:pPr>
      <w:r>
        <w:t xml:space="preserve">Copia di backup. </w:t>
      </w:r>
      <w:r>
        <w:rPr>
          <w:b w:val="0"/>
          <w:bCs w:val="0"/>
        </w:rPr>
        <w:t>Il licenziatario potrà creare una copia di backup del software per eseguire una reinstallazione.</w:t>
      </w:r>
    </w:p>
    <w:p w:rsidR="007B61B3" w:rsidRPr="00A16BD5" w:rsidRDefault="00165DA5" w:rsidP="007B61B3">
      <w:pPr>
        <w:pStyle w:val="Heading1"/>
        <w:keepNext/>
        <w:tabs>
          <w:tab w:val="num" w:pos="540"/>
        </w:tabs>
        <w:ind w:left="360" w:hanging="360"/>
      </w:pPr>
      <w:r>
        <w:t>CONDIZIONI PER COMPONENTI SPECIFICI.</w:t>
      </w:r>
    </w:p>
    <w:p w:rsidR="00F02617" w:rsidRPr="00A16BD5" w:rsidRDefault="00F02617" w:rsidP="00FF769F">
      <w:pPr>
        <w:pStyle w:val="Heading2"/>
        <w:widowControl w:val="0"/>
        <w:tabs>
          <w:tab w:val="clear" w:pos="1533"/>
          <w:tab w:val="num" w:pos="720"/>
          <w:tab w:val="num" w:pos="1080"/>
        </w:tabs>
        <w:ind w:left="720" w:hanging="360"/>
        <w:rPr>
          <w:rFonts w:eastAsia="SimSun"/>
          <w:b w:val="0"/>
          <w:bCs w:val="0"/>
        </w:rPr>
      </w:pPr>
      <w:r>
        <w:t xml:space="preserve">Utilità. </w:t>
      </w:r>
      <w:r>
        <w:rPr>
          <w:b w:val="0"/>
          <w:bCs w:val="0"/>
        </w:rPr>
        <w:t xml:space="preserve">Il software contiene alcuni componenti identificati nell’Elenco delle Utilità alla pagina </w:t>
      </w:r>
      <w:hyperlink r:id="rId8" w:history="1">
        <w:r>
          <w:rPr>
            <w:rStyle w:val="Hyperlink"/>
            <w:b w:val="0"/>
          </w:rPr>
          <w:t>https://go.microsoft.com/fwlink/?linkid=823097</w:t>
        </w:r>
      </w:hyperlink>
      <w:r>
        <w:rPr>
          <w:b w:val="0"/>
          <w:color w:val="1F4E79"/>
        </w:rPr>
        <w:t xml:space="preserve">. </w:t>
      </w:r>
      <w:r>
        <w:rPr>
          <w:b w:val="0"/>
          <w:bCs w:val="0"/>
        </w:rPr>
        <w:t>Il licenziatario potrà duplicare e installare tali componenti, qualora siano inclusi nel software, sui propri dispositivi per eseguire il debug e la distribuzione delle applicazioni e dei database che ha sviluppato con il software. Il licenziatario deve tenere presente che le Utilità sono progettate per un utilizzo temporaneo, che Microsoft potrebbe non essere in grado di applicare patch alle Utilità né di aggiornarle separatamente dal resto del software e che alcune Utilità potrebbero, per loro stessa natura, consentire ad altri soggetti di accedere ai dispositivi su cui sono installati. Di conseguenza, il licenziatario deve eliminare tutte le Utilità installate al termine del debug o della distribuzione di applicazioni e database. Microsoft non è responsabile dell’utilizzo da parte di terzi delle Utilità che il licenziatario installa su un dispositivo, né dell’accesso ad esse.</w:t>
      </w:r>
    </w:p>
    <w:p w:rsidR="00FF769F" w:rsidRDefault="00C618CC" w:rsidP="00FF769F">
      <w:pPr>
        <w:pStyle w:val="Heading2"/>
        <w:widowControl w:val="0"/>
        <w:tabs>
          <w:tab w:val="clear" w:pos="1533"/>
          <w:tab w:val="num" w:pos="720"/>
          <w:tab w:val="num" w:pos="1080"/>
        </w:tabs>
        <w:ind w:left="720" w:hanging="360"/>
        <w:rPr>
          <w:rFonts w:eastAsia="SimSun"/>
          <w:b w:val="0"/>
        </w:rPr>
      </w:pPr>
      <w:r>
        <w:t xml:space="preserve">Build Tools.  </w:t>
      </w:r>
      <w:r>
        <w:rPr>
          <w:b w:val="0"/>
        </w:rPr>
        <w:t>Il licenziatario potrà duplicare e installare i file del software sui propri dispositivi di compilazione, inclusi i dispositivi fisici e le macchine virtuali o i contenitori su tali macchine, sia su macchine locali che remote di proprietà del licenziatario, ospitate su Azure per il licenziatario o dedicate esclusivamente all’utilizzo da parte del licenziatario (collettivamente, “Dispositivi di Compilazione”).  Il licenziatario e altri soggetti all’interno dell’organizzazione potranno utilizzare i file presenti nei Dispositivi di Compilazione solo per compilare e verificare le applicazioni oppure per eseguire test di qualità o delle prestazioni di tali applicazioni durante il processo di compilazione.  Per chiarezza, “applicazioni” indica le applicazioni sviluppate dal licenziatario e da altri soggetti della sua organizzazione, ciascuno dei quali è autorizzato a utilizzare il software.</w:t>
      </w:r>
    </w:p>
    <w:p w:rsidR="00431D2B" w:rsidRPr="00FF769F" w:rsidRDefault="00FF769F" w:rsidP="00FF769F">
      <w:pPr>
        <w:pStyle w:val="Heading2"/>
        <w:widowControl w:val="0"/>
        <w:tabs>
          <w:tab w:val="clear" w:pos="1533"/>
          <w:tab w:val="num" w:pos="720"/>
          <w:tab w:val="num" w:pos="1080"/>
        </w:tabs>
        <w:ind w:left="720" w:hanging="360"/>
        <w:rPr>
          <w:rFonts w:eastAsia="SimSun"/>
          <w:b w:val="0"/>
        </w:rPr>
      </w:pPr>
      <w:r>
        <w:t xml:space="preserve">Componenti dei Tipi di Carattere. </w:t>
      </w:r>
      <w:r>
        <w:rPr>
          <w:b w:val="0"/>
        </w:rPr>
        <w:t>Durante l’esecuzione del software il licenziatario potrà utilizzare i relativi tipi di carattere per visualizzare e stampare il contenuto. Il licenziatario potrà solo: (i) incorporare i tipi di carattere nel contenuto nella misura in cui ciò sia permesso dalle relative restrizioni e (ii) scaricarle temporaneamente in una stampante o altro dispositivo di output per agevolare la stampa del contenuto.</w:t>
      </w:r>
    </w:p>
    <w:p w:rsidR="00C55735" w:rsidRPr="00F75C3A" w:rsidRDefault="00C55735" w:rsidP="003A0255">
      <w:pPr>
        <w:pStyle w:val="Heading2"/>
        <w:widowControl w:val="0"/>
        <w:tabs>
          <w:tab w:val="clear" w:pos="1533"/>
          <w:tab w:val="num" w:pos="720"/>
          <w:tab w:val="num" w:pos="1080"/>
        </w:tabs>
        <w:ind w:left="720" w:hanging="360"/>
        <w:rPr>
          <w:rFonts w:eastAsia="SimSun"/>
          <w:b w:val="0"/>
          <w:bCs w:val="0"/>
        </w:rPr>
      </w:pPr>
      <w:r>
        <w:t>Licenze per Altri Componenti</w:t>
      </w:r>
      <w:r>
        <w:rPr>
          <w:b w:val="0"/>
          <w:bCs w:val="0"/>
        </w:rPr>
        <w:t>.</w:t>
      </w:r>
    </w:p>
    <w:p w:rsidR="00C55735" w:rsidRPr="00A16BD5" w:rsidRDefault="00F52467" w:rsidP="00BD68D7">
      <w:pPr>
        <w:pStyle w:val="Heading3"/>
        <w:numPr>
          <w:ilvl w:val="2"/>
          <w:numId w:val="13"/>
        </w:numPr>
      </w:pPr>
      <w:r>
        <w:rPr>
          <w:u w:val="single"/>
        </w:rPr>
        <w:t>Piattaforme Microsoft</w:t>
      </w:r>
      <w:r>
        <w:t>. Il software potrà includere componenti di Microsoft Windows, Microsoft Windows Server, Microsoft SQL Server, Microsoft Exchange, Microsoft Office e Microsoft SharePoint. Tali componenti sono disciplinati da contratti specifici e dai relativi criteri di supporto dei prodotti, come indicato nella</w:t>
      </w:r>
      <w:r>
        <w:rPr>
          <w:color w:val="002060"/>
        </w:rPr>
        <w:t xml:space="preserve"> </w:t>
      </w:r>
      <w:r>
        <w:lastRenderedPageBreak/>
        <w:t>cartella “Licenze” Microsoft fornita insieme al software. Nel caso in cui nella directory di installazione associata siano incluse condizioni di licenza specifiche per i suddetti componenti, tali condizioni di licenza avranno prevalenza.</w:t>
      </w:r>
    </w:p>
    <w:p w:rsidR="00F52467" w:rsidRPr="00A16BD5" w:rsidRDefault="00F52467" w:rsidP="00BD68D7">
      <w:pPr>
        <w:pStyle w:val="Heading3"/>
        <w:numPr>
          <w:ilvl w:val="2"/>
          <w:numId w:val="13"/>
        </w:numPr>
      </w:pPr>
      <w:r>
        <w:rPr>
          <w:u w:val="single"/>
        </w:rPr>
        <w:t>Risorse dello sviluppatore</w:t>
      </w:r>
      <w:r>
        <w:t xml:space="preserve">. Il software include compilatori, lingue, runtime, ambienti e altre risorse. Tali componenti potranno essere disciplinati da contratti specifici ed essere soggetti a criteri propri di supporto dei prodotti. Un elenco dei suddetti componenti è disponibile all’indirizzo </w:t>
      </w:r>
      <w:hyperlink r:id="rId9" w:history="1">
        <w:r>
          <w:rPr>
            <w:rStyle w:val="Hyperlink"/>
          </w:rPr>
          <w:t>https://support.microsoft.com</w:t>
        </w:r>
      </w:hyperlink>
      <w:r>
        <w:rPr>
          <w:b/>
        </w:rPr>
        <w:t>.</w:t>
      </w:r>
    </w:p>
    <w:p w:rsidR="00693D60" w:rsidRDefault="00EB5DDB" w:rsidP="00024CC2">
      <w:pPr>
        <w:pStyle w:val="Heading3"/>
        <w:numPr>
          <w:ilvl w:val="0"/>
          <w:numId w:val="0"/>
        </w:numPr>
        <w:ind w:left="1077" w:firstLine="6"/>
      </w:pPr>
      <w:r>
        <w:rPr>
          <w:u w:val="single"/>
        </w:rPr>
        <w:t>Componenti di Terzi</w:t>
      </w:r>
      <w:r>
        <w:t xml:space="preserve">. Il software potrà includere componenti di terzi con comunicazioni legali distinte o disciplinati da altri contratti, come indicato nel o nei file ThirdPartyNotices relativi al software. </w:t>
      </w:r>
    </w:p>
    <w:p w:rsidR="00F52467" w:rsidRPr="00A16BD5" w:rsidRDefault="00F52467" w:rsidP="00F52467">
      <w:pPr>
        <w:pStyle w:val="Heading2"/>
        <w:widowControl w:val="0"/>
        <w:tabs>
          <w:tab w:val="clear" w:pos="1533"/>
          <w:tab w:val="num" w:pos="720"/>
          <w:tab w:val="num" w:pos="1080"/>
        </w:tabs>
        <w:ind w:left="720" w:hanging="360"/>
        <w:rPr>
          <w:b w:val="0"/>
          <w:bCs w:val="0"/>
        </w:rPr>
      </w:pPr>
      <w:r>
        <w:t xml:space="preserve">FUNZIONALITÀ DI GESTIONE PACCHETTI. </w:t>
      </w:r>
      <w:r>
        <w:rPr>
          <w:b w:val="0"/>
          <w:bCs w:val="0"/>
        </w:rPr>
        <w:t xml:space="preserve">Il software include </w:t>
      </w:r>
      <w:r>
        <w:rPr>
          <w:b w:val="0"/>
        </w:rPr>
        <w:t>funzionalità di gestione pacchetti, quali NuGet, che consentono al licenziatario di scaricare altri pacchetti di Microsoft e di terzi da utilizzare con l’applicazione. Tali pacchetti sono disciplinati da licenze proprie, non dal presente contratto. Microsoft non distribuisce pacchetti di terzi né concede in licenza o fornisce alcuna garanzia al licenziatario in merito ad alcuno di tali pacchetti.</w:t>
      </w:r>
    </w:p>
    <w:p w:rsidR="00431D2B" w:rsidRPr="00A16BD5" w:rsidRDefault="00D96E58" w:rsidP="009A3A66">
      <w:pPr>
        <w:pStyle w:val="Heading1"/>
        <w:widowControl w:val="0"/>
        <w:ind w:left="360" w:hanging="360"/>
        <w:rPr>
          <w:rFonts w:eastAsia="SimSun"/>
          <w:b w:val="0"/>
          <w:bCs w:val="0"/>
        </w:rPr>
      </w:pPr>
      <w:r>
        <w:t xml:space="preserve">CODICE DISTRIBUIBILE. </w:t>
      </w:r>
      <w:r>
        <w:rPr>
          <w:b w:val="0"/>
          <w:bCs w:val="0"/>
        </w:rPr>
        <w:t>Il software contiene codice che il licenziatario potrà distribuire nelle applicazioni che svilupperà nella modalità indicata nel presente Articolo. (Ai fini dell’interpretazione del presente Articolo il termine “distribuzione” indica anche la distribuzione delle applicazioni del licenziatario per fornire a terzi l’accesso a Internet).</w:t>
      </w:r>
    </w:p>
    <w:p w:rsidR="00431D2B" w:rsidRPr="00A16BD5" w:rsidRDefault="00431D2B" w:rsidP="004A47C4">
      <w:pPr>
        <w:pStyle w:val="Heading3Bold"/>
        <w:widowControl w:val="0"/>
        <w:numPr>
          <w:ilvl w:val="2"/>
          <w:numId w:val="7"/>
        </w:numPr>
        <w:tabs>
          <w:tab w:val="clear" w:pos="1077"/>
        </w:tabs>
        <w:ind w:left="720" w:hanging="360"/>
        <w:rPr>
          <w:rFonts w:eastAsia="SimSun"/>
        </w:rPr>
      </w:pPr>
      <w:r>
        <w:t xml:space="preserve">Diritto di Utilizzo e Distribuzione. </w:t>
      </w:r>
      <w:r>
        <w:rPr>
          <w:b w:val="0"/>
          <w:bCs w:val="0"/>
        </w:rPr>
        <w:t>Il codice e i file di testo elencati di seguito costituiscono il</w:t>
      </w:r>
      <w:r>
        <w:t xml:space="preserve"> “Codice Distribuibile.”</w:t>
      </w:r>
    </w:p>
    <w:p w:rsidR="00431D2B" w:rsidRPr="00A16BD5" w:rsidRDefault="00431D2B" w:rsidP="00E2247B">
      <w:pPr>
        <w:pStyle w:val="Bullet4Underlined"/>
        <w:widowControl w:val="0"/>
        <w:ind w:left="1080" w:hanging="360"/>
        <w:rPr>
          <w:rFonts w:eastAsia="SimSun"/>
          <w:u w:val="none"/>
        </w:rPr>
      </w:pPr>
      <w:r>
        <w:t>File REDIST.TXT</w:t>
      </w:r>
      <w:r>
        <w:rPr>
          <w:u w:val="none"/>
        </w:rPr>
        <w:t xml:space="preserve">. Il licenziatario potrà duplicare e distribuire il formato in codice oggetto del codice riportato nell’elenco REDIST disponibile all’indirizzo </w:t>
      </w:r>
      <w:hyperlink r:id="rId10" w:history="1">
        <w:r>
          <w:rPr>
            <w:rStyle w:val="Hyperlink"/>
          </w:rPr>
          <w:t>https://go.microsoft.com/fwlink/?linkid=823097</w:t>
        </w:r>
      </w:hyperlink>
      <w:r>
        <w:rPr>
          <w:u w:val="none"/>
        </w:rPr>
        <w:t>.</w:t>
      </w:r>
    </w:p>
    <w:p w:rsidR="00431D2B" w:rsidRPr="00A16BD5" w:rsidRDefault="00431D2B" w:rsidP="0066666D">
      <w:pPr>
        <w:pStyle w:val="Bullet4Underlined"/>
        <w:widowControl w:val="0"/>
        <w:ind w:left="1080" w:hanging="360"/>
        <w:rPr>
          <w:rFonts w:eastAsia="SimSun"/>
          <w:u w:val="none"/>
        </w:rPr>
      </w:pPr>
      <w:r>
        <w:t>Codice Campione, Modelli e Stili</w:t>
      </w:r>
      <w:r>
        <w:rPr>
          <w:u w:val="none"/>
        </w:rPr>
        <w:t>. Il licenziatario potrà duplicare, modificare e distribuire il formato in codice sorgente e in codice oggetto del codice identificato come “campione”, “modello”, “stili semplici” e “stili schizzo”.</w:t>
      </w:r>
    </w:p>
    <w:p w:rsidR="00431D2B" w:rsidRPr="00A16BD5" w:rsidRDefault="00431D2B" w:rsidP="001142D7">
      <w:pPr>
        <w:pStyle w:val="Bullet4Underlined"/>
        <w:widowControl w:val="0"/>
        <w:ind w:left="1080" w:hanging="360"/>
        <w:rPr>
          <w:rFonts w:eastAsia="SimSun"/>
          <w:u w:val="none"/>
        </w:rPr>
      </w:pPr>
      <w:r>
        <w:t>Image Library</w:t>
      </w:r>
      <w:r>
        <w:rPr>
          <w:u w:val="none"/>
        </w:rPr>
        <w:t xml:space="preserve">. Il licenziatario potrà duplicare e distribuire immagini, grafica e animazioni di Image Library secondo le modalità descritte nella documentazione del software. </w:t>
      </w:r>
    </w:p>
    <w:p w:rsidR="00431D2B" w:rsidRPr="00A16BD5" w:rsidRDefault="00431D2B" w:rsidP="001142D7">
      <w:pPr>
        <w:pStyle w:val="Bullet4Underlined"/>
        <w:widowControl w:val="0"/>
        <w:ind w:left="1080" w:hanging="360"/>
        <w:rPr>
          <w:rFonts w:eastAsia="SimSun"/>
          <w:u w:val="none"/>
        </w:rPr>
      </w:pPr>
      <w:r>
        <w:t>Distribuzione da parte di terzi</w:t>
      </w:r>
      <w:r>
        <w:rPr>
          <w:u w:val="none"/>
        </w:rPr>
        <w:t>. Il licenziatario potrà autorizzare i distributori delle sue applicazioni a duplicare e distribuire il Codice Distribuibile insieme a tali applicazioni.</w:t>
      </w:r>
    </w:p>
    <w:p w:rsidR="00431D2B" w:rsidRPr="00A16BD5" w:rsidRDefault="00431D2B" w:rsidP="001D3A43">
      <w:pPr>
        <w:pStyle w:val="Heading3Bold"/>
        <w:widowControl w:val="0"/>
        <w:numPr>
          <w:ilvl w:val="2"/>
          <w:numId w:val="7"/>
        </w:numPr>
        <w:tabs>
          <w:tab w:val="clear" w:pos="1077"/>
        </w:tabs>
        <w:ind w:left="720" w:hanging="360"/>
        <w:rPr>
          <w:rFonts w:eastAsia="SimSun"/>
          <w:b w:val="0"/>
          <w:bCs w:val="0"/>
        </w:rPr>
      </w:pPr>
      <w:r>
        <w:t xml:space="preserve">Requisiti per la Distribuzione. </w:t>
      </w:r>
      <w:r>
        <w:rPr>
          <w:b w:val="0"/>
          <w:bCs w:val="0"/>
        </w:rPr>
        <w:t>Per distribuire il Codice Distribuibile, il licenziatario dovrà:</w:t>
      </w:r>
    </w:p>
    <w:p w:rsidR="00431D2B" w:rsidRPr="00A16BD5" w:rsidRDefault="00431D2B" w:rsidP="001142D7">
      <w:pPr>
        <w:pStyle w:val="Bullet4"/>
        <w:widowControl w:val="0"/>
        <w:ind w:left="1080" w:hanging="360"/>
        <w:rPr>
          <w:rFonts w:eastAsia="SimSun"/>
        </w:rPr>
      </w:pPr>
      <w:r>
        <w:t>aggiungervi rilevanti e significative funzionalità nelle applicazioni;</w:t>
      </w:r>
    </w:p>
    <w:p w:rsidR="00431D2B" w:rsidRPr="00A16BD5" w:rsidRDefault="00431D2B" w:rsidP="001142D7">
      <w:pPr>
        <w:pStyle w:val="Bullet4"/>
        <w:widowControl w:val="0"/>
        <w:ind w:left="1080" w:hanging="360"/>
        <w:rPr>
          <w:rFonts w:eastAsia="SimSun"/>
        </w:rPr>
      </w:pPr>
      <w:r>
        <w:t>far accettare ai distributori e agli utenti finali esterni un contratto con condizioni che garantiscano almeno lo stesso livello di tutela del Codice Distribuibile definito nel presente contratto e</w:t>
      </w:r>
    </w:p>
    <w:p w:rsidR="00431D2B" w:rsidRPr="00F75C3A" w:rsidRDefault="00431D2B" w:rsidP="001142D7">
      <w:pPr>
        <w:pStyle w:val="Bullet4"/>
        <w:widowControl w:val="0"/>
        <w:ind w:left="1080" w:hanging="360"/>
        <w:rPr>
          <w:rFonts w:eastAsia="SimSun"/>
        </w:rPr>
      </w:pPr>
      <w:r>
        <w:t>indennizzare, manlevare e difendere Microsoft da qualsiasi reclamo, ivi inclusi i corrispettivi legali, relativo all’utilizzo o alla distribuzione delle proprie applicazioni, a meno che questo si basi esclusivamente sul Codice Distribuibile.</w:t>
      </w:r>
    </w:p>
    <w:p w:rsidR="00431D2B" w:rsidRPr="00F6165D" w:rsidRDefault="00431D2B" w:rsidP="001D3A43">
      <w:pPr>
        <w:pStyle w:val="Heading3Bold"/>
        <w:widowControl w:val="0"/>
        <w:numPr>
          <w:ilvl w:val="2"/>
          <w:numId w:val="7"/>
        </w:numPr>
        <w:tabs>
          <w:tab w:val="clear" w:pos="1077"/>
        </w:tabs>
        <w:ind w:left="720" w:hanging="360"/>
        <w:rPr>
          <w:rFonts w:eastAsia="SimSun"/>
          <w:b w:val="0"/>
          <w:bCs w:val="0"/>
        </w:rPr>
      </w:pPr>
      <w:r>
        <w:t xml:space="preserve">Restrizioni per la Distribuzione. </w:t>
      </w:r>
      <w:r>
        <w:rPr>
          <w:b w:val="0"/>
          <w:bCs w:val="0"/>
        </w:rPr>
        <w:t>L’utente non potrà:</w:t>
      </w:r>
    </w:p>
    <w:p w:rsidR="00431D2B" w:rsidRPr="00F6165D" w:rsidRDefault="00431D2B" w:rsidP="001142D7">
      <w:pPr>
        <w:pStyle w:val="Bullet4"/>
        <w:widowControl w:val="0"/>
        <w:ind w:left="1080" w:hanging="360"/>
        <w:rPr>
          <w:rFonts w:eastAsia="SimSun"/>
        </w:rPr>
      </w:pPr>
      <w:r>
        <w:t>utilizzare i marchi di Microsoft nei nomi delle proprie applicazioni o in modo tale da suggerire che tali applicazioni provengano o siano approvate da Microsoft né</w:t>
      </w:r>
    </w:p>
    <w:p w:rsidR="00C544CC" w:rsidRPr="00F6165D" w:rsidRDefault="00C544CC" w:rsidP="001142D7">
      <w:pPr>
        <w:pStyle w:val="Bullet4"/>
        <w:widowControl w:val="0"/>
        <w:ind w:left="1080" w:hanging="360"/>
        <w:rPr>
          <w:rFonts w:eastAsia="SimSun"/>
        </w:rPr>
      </w:pPr>
      <w:r>
        <w:t>modificare o distribuire il codice sorgente di qualsiasi Codice Distribuibile in modo che qualsiasi parte di tale codice sia soggetta a una Licenza Esclusa. Una “Licenza Esclusa” è una licenza che richiede, come condizione per l’utilizzo, la modifica o la distribuzione di codice, che (i) questo sia divulgato o distribuito nel formato in codice sorgente o (ii) altri soggetti abbiano il diritto di modificarlo.</w:t>
      </w:r>
    </w:p>
    <w:p w:rsidR="00DE3D59" w:rsidRPr="00DE3D59" w:rsidRDefault="004A52BA" w:rsidP="00C65D16">
      <w:pPr>
        <w:pStyle w:val="Heading1"/>
        <w:widowControl w:val="0"/>
        <w:rPr>
          <w:rFonts w:eastAsia="SimSun"/>
          <w:b w:val="0"/>
        </w:rPr>
      </w:pPr>
      <w:r>
        <w:t xml:space="preserve">DATI. </w:t>
      </w:r>
    </w:p>
    <w:p w:rsidR="00317D11" w:rsidRDefault="000414E4" w:rsidP="003D15FA">
      <w:pPr>
        <w:pStyle w:val="Heading2"/>
        <w:widowControl w:val="0"/>
        <w:tabs>
          <w:tab w:val="clear" w:pos="1533"/>
          <w:tab w:val="num" w:pos="720"/>
          <w:tab w:val="num" w:pos="1080"/>
        </w:tabs>
        <w:ind w:left="720" w:hanging="360"/>
        <w:rPr>
          <w:rFonts w:eastAsia="SimSun"/>
          <w:b w:val="0"/>
        </w:rPr>
      </w:pPr>
      <w:r>
        <w:t>Raccolta dei dati.</w:t>
      </w:r>
      <w:r>
        <w:rPr>
          <w:b w:val="0"/>
        </w:rPr>
        <w:t xml:space="preserve"> 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prodotto. Nel software sono disponibili anche a</w:t>
      </w:r>
      <w:r>
        <w:rPr>
          <w:b w:val="0"/>
          <w:color w:val="000000"/>
        </w:rPr>
        <w:t>lcune funzionalità che potranno consentire al licenziatario e a Microsoft di raccogliere dati degli utenti delle applicazioni</w:t>
      </w:r>
      <w:r>
        <w:rPr>
          <w:b w:val="0"/>
        </w:rPr>
        <w:t xml:space="preserve">. Qualora il licenziatario utilizzi queste funzionalità, dovrà conformarsi alla legge applicabile, che prevede tra l’altro che agli utenti delle applicazioni vengano </w:t>
      </w:r>
      <w:r>
        <w:rPr>
          <w:b w:val="0"/>
        </w:rPr>
        <w:lastRenderedPageBreak/>
        <w:t xml:space="preserve">fornite comunicazioni appropriate unitamente all’informativa sulla privacy di Microsoft. L’informativa sulla privacy di Microsoft è disponibile all’indirizzo </w:t>
      </w:r>
      <w:hyperlink r:id="rId11" w:history="1">
        <w:r>
          <w:rPr>
            <w:rStyle w:val="Hyperlink"/>
            <w:b w:val="0"/>
          </w:rPr>
          <w:t>https://go.microsoft.com/fwlink/?LinkID=824704</w:t>
        </w:r>
      </w:hyperlink>
      <w:r>
        <w:rPr>
          <w:rStyle w:val="Hyperlink"/>
          <w:b w:val="0"/>
        </w:rPr>
        <w:t xml:space="preserve">. </w:t>
      </w:r>
      <w:r>
        <w:rPr>
          <w:b w:val="0"/>
        </w:rPr>
        <w:t>Ulteriori informazioni sulla raccolta e il trattamento dei dati sono disponibili nella documentazione di supporto e nell’informativa sulla privacy di Microsoft. L’utilizzo del software da parte del licenziatario costituisce accettazione implicita di tali criteri.</w:t>
      </w:r>
    </w:p>
    <w:p w:rsidR="00DE3D59" w:rsidRPr="00317D11" w:rsidRDefault="00DE3D59" w:rsidP="003D15FA">
      <w:pPr>
        <w:pStyle w:val="Heading2"/>
        <w:widowControl w:val="0"/>
        <w:tabs>
          <w:tab w:val="clear" w:pos="1533"/>
          <w:tab w:val="num" w:pos="720"/>
          <w:tab w:val="num" w:pos="1080"/>
        </w:tabs>
        <w:ind w:left="720" w:hanging="360"/>
        <w:rPr>
          <w:rFonts w:eastAsia="SimSun"/>
        </w:rPr>
      </w:pPr>
      <w:r>
        <w:t xml:space="preserve">Trattamento dei Dati Personali. </w:t>
      </w:r>
      <w:r>
        <w:rPr>
          <w:b w:val="0"/>
        </w:rPr>
        <w:t>i al software, farà sì che gli impegni nei confronti di tutte le società riportati nelle Condizioni del Regolamento Europeo per la Protezione dei Dati Personali delleCondizioni per l’Utilizzo dei Servizi Online entrino in vigore il 25 maggio 2018 (</w:t>
      </w:r>
      <w:r>
        <w:t xml:space="preserve"> </w:t>
      </w:r>
      <w:hyperlink r:id="rId12" w:history="1">
        <w:r>
          <w:rPr>
            <w:rStyle w:val="Hyperlink"/>
            <w:b w:val="0"/>
          </w:rPr>
          <w:t>http://go.microsoft.com/?linkid=9840733</w:t>
        </w:r>
      </w:hyperlink>
      <w:r>
        <w:t>)</w:t>
      </w:r>
    </w:p>
    <w:p w:rsidR="00431D2B" w:rsidRPr="00E24474" w:rsidRDefault="00E24474" w:rsidP="00E24474">
      <w:pPr>
        <w:pStyle w:val="Heading1"/>
        <w:widowControl w:val="0"/>
        <w:numPr>
          <w:ilvl w:val="0"/>
          <w:numId w:val="0"/>
        </w:numPr>
        <w:ind w:left="447" w:hanging="357"/>
        <w:rPr>
          <w:rFonts w:eastAsia="SimSun"/>
          <w:b w:val="0"/>
        </w:rPr>
      </w:pPr>
      <w:bookmarkStart w:id="0" w:name="_Ref324612435"/>
      <w:bookmarkEnd w:id="0"/>
      <w:r>
        <w:t>6.</w:t>
      </w:r>
      <w:r>
        <w:tab/>
        <w:t xml:space="preserve">AMBITO DI VALIDITÀ DELLA LICENZA. </w:t>
      </w:r>
      <w:r>
        <w:rPr>
          <w:b w:val="0"/>
          <w:bCs w:val="0"/>
        </w:rPr>
        <w:t>Il software non viene venduto, ma è concesso in licenza. Il presente contratto concede al licenziatario solo alcuni diritti di utilizzo del software. Microsoft si riserva tutti gli altri diritti. Nel limite massimo consentito dalla legge applicabile il licenziatario potrà utilizzare il software esclusivamente nei modi espressamente concessi nel presente contratto. Nel far ciò, il contraente dovrà attenersi a qualsiasi limitazione tecnica presente nel software che gli consenta di utilizzarlo solo in determinati modi. L'utente non potrà:</w:t>
      </w:r>
    </w:p>
    <w:p w:rsidR="00431D2B" w:rsidRPr="00A16BD5" w:rsidRDefault="00431D2B" w:rsidP="001142D7">
      <w:pPr>
        <w:pStyle w:val="Bullet4Underline"/>
        <w:widowControl w:val="0"/>
        <w:numPr>
          <w:ilvl w:val="0"/>
          <w:numId w:val="3"/>
        </w:numPr>
        <w:tabs>
          <w:tab w:val="num" w:pos="720"/>
        </w:tabs>
        <w:ind w:left="720" w:hanging="360"/>
        <w:rPr>
          <w:rFonts w:eastAsia="SimSun"/>
          <w:u w:val="none"/>
        </w:rPr>
      </w:pPr>
      <w:r>
        <w:rPr>
          <w:u w:val="none"/>
        </w:rPr>
        <w:t>aggirare le limitazioni tecniche presenti nel software;</w:t>
      </w:r>
    </w:p>
    <w:p w:rsidR="00431D2B" w:rsidRPr="00F75C3A" w:rsidRDefault="00431D2B" w:rsidP="004603E1">
      <w:pPr>
        <w:pStyle w:val="Bullet4Underline"/>
        <w:widowControl w:val="0"/>
        <w:numPr>
          <w:ilvl w:val="0"/>
          <w:numId w:val="3"/>
        </w:numPr>
        <w:tabs>
          <w:tab w:val="num" w:pos="720"/>
        </w:tabs>
        <w:ind w:left="720" w:hanging="360"/>
        <w:rPr>
          <w:rFonts w:eastAsia="SimSun"/>
          <w:u w:val="none"/>
        </w:rPr>
      </w:pPr>
      <w:r>
        <w:rPr>
          <w:u w:val="none"/>
        </w:rPr>
        <w:t>decompilare o disassemblare il software né in altro modo tentare di derivare il codice sorgente del software, fatta eccezione per i casi previsti da condizioni di licenza di terzi che disciplinano l’utilizzo di alcuni componenti open source che potrebbero essere inclusi nel software;</w:t>
      </w:r>
    </w:p>
    <w:p w:rsidR="00294947" w:rsidRPr="00F75C3A" w:rsidRDefault="00294947" w:rsidP="001142D7">
      <w:pPr>
        <w:pStyle w:val="Bullet4Underline"/>
        <w:widowControl w:val="0"/>
        <w:numPr>
          <w:ilvl w:val="0"/>
          <w:numId w:val="3"/>
        </w:numPr>
        <w:tabs>
          <w:tab w:val="num" w:pos="720"/>
        </w:tabs>
        <w:ind w:left="720" w:hanging="360"/>
        <w:rPr>
          <w:rFonts w:eastAsia="SimSun"/>
          <w:u w:val="none"/>
        </w:rPr>
      </w:pPr>
      <w:r>
        <w:rPr>
          <w:u w:val="none"/>
        </w:rPr>
        <w:t>rimuovere, ridurre al minimo, bloccare o modificare alcuna comunicazione di Microsoft o dei suoi fornitori relativamente al software;</w:t>
      </w:r>
    </w:p>
    <w:p w:rsidR="00431D2B" w:rsidRPr="00F6165D" w:rsidRDefault="00431D2B" w:rsidP="001142D7">
      <w:pPr>
        <w:pStyle w:val="Bullet4Underline"/>
        <w:widowControl w:val="0"/>
        <w:numPr>
          <w:ilvl w:val="0"/>
          <w:numId w:val="3"/>
        </w:numPr>
        <w:tabs>
          <w:tab w:val="num" w:pos="720"/>
        </w:tabs>
        <w:ind w:left="720" w:hanging="360"/>
        <w:rPr>
          <w:rFonts w:eastAsia="SimSun"/>
          <w:u w:val="none"/>
        </w:rPr>
      </w:pPr>
      <w:r>
        <w:rPr>
          <w:u w:val="none"/>
        </w:rPr>
        <w:t>utilizzare il software in contrasto con la legge</w:t>
      </w:r>
    </w:p>
    <w:p w:rsidR="00431D2B" w:rsidRPr="00F6165D" w:rsidRDefault="003D220E" w:rsidP="00605ED3">
      <w:pPr>
        <w:pStyle w:val="Bullet4Underline"/>
        <w:widowControl w:val="0"/>
        <w:numPr>
          <w:ilvl w:val="0"/>
          <w:numId w:val="3"/>
        </w:numPr>
        <w:tabs>
          <w:tab w:val="num" w:pos="720"/>
        </w:tabs>
        <w:ind w:left="720" w:hanging="360"/>
        <w:rPr>
          <w:rFonts w:eastAsia="SimSun"/>
          <w:u w:val="none"/>
        </w:rPr>
      </w:pPr>
      <w:r>
        <w:rPr>
          <w:u w:val="none"/>
        </w:rPr>
        <w:t>condividere, pubblicare, noleggiare o concedere in locazione il software oppure fornirlo come soluzione autonoma utilizzabile da terzi.</w:t>
      </w:r>
    </w:p>
    <w:p w:rsidR="00431D2B" w:rsidRPr="00E24474" w:rsidRDefault="00431D2B" w:rsidP="00E24474">
      <w:pPr>
        <w:pStyle w:val="Heading1"/>
        <w:widowControl w:val="0"/>
        <w:numPr>
          <w:ilvl w:val="0"/>
          <w:numId w:val="36"/>
        </w:numPr>
        <w:rPr>
          <w:rFonts w:eastAsia="SimSun"/>
          <w:b w:val="0"/>
        </w:rPr>
      </w:pPr>
      <w:r>
        <w:t xml:space="preserve">DOCUMENTAZIONE. </w:t>
      </w:r>
      <w:r>
        <w:rPr>
          <w:b w:val="0"/>
          <w:bCs w:val="0"/>
        </w:rPr>
        <w:t>Qualsiasi persona che disponga di accesso valido al computer o alla rete interna del licenziatario potrà duplicare e utilizzare la documentazione per fini di riferimento interno.</w:t>
      </w:r>
    </w:p>
    <w:p w:rsidR="00431D2B" w:rsidRPr="00F6165D" w:rsidRDefault="00431D2B" w:rsidP="00431D2B">
      <w:pPr>
        <w:pStyle w:val="Heading1"/>
        <w:widowControl w:val="0"/>
        <w:rPr>
          <w:rFonts w:eastAsia="SimSun"/>
          <w:b w:val="0"/>
        </w:rPr>
      </w:pPr>
      <w:r>
        <w:t xml:space="preserve">Campione Dimostrativo. Vietata la Vendita ("Not for Resale" o "NFR"). </w:t>
      </w:r>
      <w:r>
        <w:rPr>
          <w:b w:val="0"/>
          <w:bCs w:val="0"/>
        </w:rPr>
        <w:t>Il licenziatario non potrà vendere il software che rechi l’etichetta “Campione Dimostrativo. Vietata la Vendita” (“Not for Resale” o “NFR”).</w:t>
      </w:r>
    </w:p>
    <w:p w:rsidR="00431D2B" w:rsidRPr="00F6165D" w:rsidRDefault="00C65D16" w:rsidP="00AE63A4">
      <w:pPr>
        <w:pStyle w:val="Heading1"/>
        <w:widowControl w:val="0"/>
        <w:rPr>
          <w:rFonts w:eastAsia="SimSun"/>
          <w:b w:val="0"/>
        </w:rPr>
      </w:pPr>
      <w:r>
        <w:t xml:space="preserve">DIRITTI DI UTILIZZO DI ALTRE VERSIONI E DI EDIZIONI PRECEDENTI. </w:t>
      </w:r>
      <w:r>
        <w:rPr>
          <w:b w:val="0"/>
        </w:rPr>
        <w:t>Il licenziatario potrà utilizzare il software e qualsiasi versione precedente su qualsiasi dispositivo. Il licenziatario potrà creare, archiviare, installare, eseguire o accedere a una copia o istanza di una versione precedente, a una versione in lingua diversa consentita o a una versione precedente in luogo della versione con licenza</w:t>
      </w:r>
      <w:r>
        <w:rPr>
          <w:b w:val="0"/>
          <w:bCs w:val="0"/>
        </w:rPr>
        <w:t>.</w:t>
      </w:r>
    </w:p>
    <w:p w:rsidR="00431D2B" w:rsidRPr="00A16BD5" w:rsidRDefault="00431D2B" w:rsidP="00431D2B">
      <w:pPr>
        <w:pStyle w:val="Heading1"/>
        <w:widowControl w:val="0"/>
        <w:rPr>
          <w:rFonts w:eastAsia="SimSun"/>
          <w:b w:val="0"/>
        </w:rPr>
      </w:pPr>
      <w:r>
        <w:t xml:space="preserve">PROVA DELLA LICENZA (“Proof of License” o “POL”). </w:t>
      </w:r>
      <w:r>
        <w:rPr>
          <w:b w:val="0"/>
          <w:bCs w:val="0"/>
        </w:rPr>
        <w:t xml:space="preserve">Qualora il licenziatario abbia acquistato il software su un disco o altro supporto di memorizzazione, la prova della licenza è costituita dall’etichetta Microsoft con la scritta “Certificato di Autenticità” (“Certificate of Authenticity” o “COA”) accompagnata dal codice Product Key, nonché dalla ricevuta. Qualora il licenziatario abbia acquistato una copia del software online, la prova della licenza è costituita dal codice Product Key Microsoft ricevuto con l’acquisto e dalla ricevuta e/o dalla possibilità di accedere al servizio software tramite il proprio account Microsoft. Per identificare il software Microsoft originale, il licenziatario potrà visitare </w:t>
      </w:r>
      <w:hyperlink r:id="rId13" w:history="1">
        <w:r>
          <w:rPr>
            <w:rStyle w:val="Hyperlink"/>
            <w:b w:val="0"/>
          </w:rPr>
          <w:t>www.howtotell.com</w:t>
        </w:r>
      </w:hyperlink>
      <w:r>
        <w:rPr>
          <w:b w:val="0"/>
          <w:bCs w:val="0"/>
        </w:rPr>
        <w:t>.</w:t>
      </w:r>
    </w:p>
    <w:p w:rsidR="00431D2B" w:rsidRPr="00F6165D" w:rsidRDefault="00431D2B" w:rsidP="00AE63A4">
      <w:pPr>
        <w:pStyle w:val="Heading1Unbold"/>
        <w:widowControl w:val="0"/>
        <w:spacing w:before="120" w:after="120"/>
        <w:rPr>
          <w:rFonts w:eastAsia="SimSun"/>
          <w:b/>
          <w:bCs/>
        </w:rPr>
      </w:pPr>
      <w:r>
        <w:rPr>
          <w:b/>
          <w:bCs/>
        </w:rPr>
        <w:t>TRASFERIMENTO A TERZI.</w:t>
      </w:r>
      <w:r>
        <w:t xml:space="preserve"> Un licenziatario valido del software potrà trasferire il software e il presente contratto direttamente a un terzo. Prima del trasferimento il terzo dovrà accettare che il presente contratto si applichi al trasferimento e all'utilizzo del software. Il trasferimento dovrà includere il software, il codice Product key Microsoft originale e, a seconda dei casi, l’etichetta con la scritta “Prova della Licenza”. Il licenziatario che effettua il trasferimento dovrà disinstallare tutte le copie del software dopo averlo trasferito dal dispositivo. Il licenziatario che effettua il trasferimento non potrà mantenere alcuna copia del codice Product Key Microsoft originale che verrà trasferito e potrà conservare solo copie del software qualora sia in altro modo autorizzato a farlo. </w:t>
      </w:r>
      <w:r>
        <w:rPr>
          <w:b/>
          <w:bCs/>
        </w:rPr>
        <w:t>Qualora il licenziatario abbia acquistato una licenza non perpetua di utilizzo del software o qualora il software rechi l’etichetta “Campione Dimostrativo. Vietata la Vendita” (“Not for Resale” o “NFR”), il licenziatario non potrà trasferire il software o il contratto di licenza software a un’altra parte.</w:t>
      </w:r>
    </w:p>
    <w:p w:rsidR="00431D2B" w:rsidRPr="00A16BD5" w:rsidRDefault="00431D2B" w:rsidP="00431D2B">
      <w:pPr>
        <w:pStyle w:val="Heading1"/>
        <w:widowControl w:val="0"/>
        <w:rPr>
          <w:rFonts w:eastAsia="SimSun"/>
          <w:b w:val="0"/>
        </w:rPr>
      </w:pPr>
      <w:r>
        <w:t xml:space="preserve">RESTRIZIONI ALL'ESPORTAZIONE. </w:t>
      </w:r>
      <w:r>
        <w:rPr>
          <w:b w:val="0"/>
          <w:bCs w:val="0"/>
        </w:rPr>
        <w:t xml:space="preserve">Il licenziatario dovrà conformarsi a tutte le leggi e a tutti i regolamenti nazionali e internazionali in materia di esportazione applicabili al software, che includono limitazioni su destinazioni, utenti finali e utilizzo finale. Per ulteriori informazioni sulle limitazioni all’esportazione, il licenziatario </w:t>
      </w:r>
      <w:r>
        <w:rPr>
          <w:b w:val="0"/>
          <w:bCs w:val="0"/>
        </w:rPr>
        <w:lastRenderedPageBreak/>
        <w:t xml:space="preserve">potrà visitare la pagina </w:t>
      </w:r>
      <w:hyperlink r:id="rId14" w:history="1">
        <w:r>
          <w:rPr>
            <w:rStyle w:val="Hyperlink"/>
            <w:b w:val="0"/>
            <w:bCs w:val="0"/>
          </w:rPr>
          <w:t>www.microsoft.com/exporting</w:t>
        </w:r>
      </w:hyperlink>
      <w:r>
        <w:rPr>
          <w:b w:val="0"/>
          <w:bCs w:val="0"/>
        </w:rPr>
        <w:t>.</w:t>
      </w:r>
    </w:p>
    <w:p w:rsidR="005B013E" w:rsidRPr="00A16BD5" w:rsidRDefault="00431D2B" w:rsidP="00F3419D">
      <w:pPr>
        <w:pStyle w:val="Heading1"/>
        <w:widowControl w:val="0"/>
        <w:rPr>
          <w:rFonts w:eastAsia="SimSun"/>
          <w:b w:val="0"/>
          <w:bCs w:val="0"/>
          <w:u w:val="single"/>
        </w:rPr>
      </w:pPr>
      <w:r>
        <w:t xml:space="preserve">SUPPORTO. </w:t>
      </w:r>
      <w:r>
        <w:rPr>
          <w:b w:val="0"/>
          <w:bCs w:val="0"/>
        </w:rPr>
        <w:t xml:space="preserve">Microsoft eroga servizi di supporto tecnico per il software come descritto all’indirizzo </w:t>
      </w:r>
      <w:hyperlink r:id="rId15" w:history="1">
        <w:r>
          <w:rPr>
            <w:rStyle w:val="Hyperlink"/>
            <w:b w:val="0"/>
          </w:rPr>
          <w:t>https://support.microsoft.com</w:t>
        </w:r>
      </w:hyperlink>
      <w:r>
        <w:rPr>
          <w:b w:val="0"/>
          <w:bCs w:val="0"/>
        </w:rPr>
        <w:t>.</w:t>
      </w:r>
    </w:p>
    <w:p w:rsidR="00431D2B" w:rsidRPr="00A16BD5" w:rsidRDefault="00431D2B" w:rsidP="00431D2B">
      <w:pPr>
        <w:pStyle w:val="Heading1"/>
        <w:widowControl w:val="0"/>
        <w:rPr>
          <w:rFonts w:eastAsia="SimSun"/>
          <w:b w:val="0"/>
        </w:rPr>
      </w:pPr>
      <w:r>
        <w:t xml:space="preserve">INTERO ACCORDO. </w:t>
      </w:r>
      <w:r>
        <w:rPr>
          <w:b w:val="0"/>
          <w:bCs w:val="0"/>
        </w:rPr>
        <w:t>Il presente contratto, inclusa la garanzia che segue, e le condizioni per i supplementi, gli aggiornamenti, i servizi basati su Internet e i servizi di supporto tecnico costituiscono l’intero accordo relativo al software e ai servizi di supporto tecnico.</w:t>
      </w:r>
    </w:p>
    <w:p w:rsidR="00431D2B" w:rsidRPr="00A16BD5" w:rsidRDefault="00431D2B" w:rsidP="00DE3D59">
      <w:pPr>
        <w:pStyle w:val="Heading1"/>
        <w:widowControl w:val="0"/>
        <w:rPr>
          <w:rFonts w:eastAsia="SimSun"/>
        </w:rPr>
      </w:pPr>
      <w:r>
        <w:t xml:space="preserve">LEGGE APPLICABILE. </w:t>
      </w:r>
      <w:r>
        <w:rPr>
          <w:b w:val="0"/>
          <w:bCs w:val="0"/>
        </w:rPr>
        <w:t>Qualora il software sia stato acquistato negli Stati Uniti, il presente contratto è interpretato in base alla legge dello Stato di Washington e tale legge si applica ai reclami aventi ad oggetto gli inadempimenti di tale contratto, mentre a tutti gli altri reclami si applicano le leggi dello Stato di residenza del licenziatario. Qualora il licenziatario acquisisca il software in qualsiasi altro Paese, si applicano le leggi di tale Paese.</w:t>
      </w:r>
    </w:p>
    <w:p w:rsidR="0050688B" w:rsidRPr="00AA6BF9" w:rsidRDefault="0050688B" w:rsidP="00DE3D59">
      <w:pPr>
        <w:pStyle w:val="Heading1"/>
        <w:widowControl w:val="0"/>
        <w:rPr>
          <w:b w:val="0"/>
        </w:rPr>
      </w:pPr>
      <w:r>
        <w:t xml:space="preserve">DIRITTI DEI CONSUMATORI, VARIAZIONI REGIONALI. </w:t>
      </w:r>
      <w:r>
        <w:rPr>
          <w:b w:val="0"/>
        </w:rPr>
        <w:t>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rsidR="0050688B" w:rsidRPr="00A16BD5" w:rsidRDefault="0050688B" w:rsidP="0050688B">
      <w:pPr>
        <w:pStyle w:val="Heading2"/>
        <w:numPr>
          <w:ilvl w:val="0"/>
          <w:numId w:val="24"/>
        </w:numPr>
        <w:tabs>
          <w:tab w:val="left" w:pos="720"/>
        </w:tabs>
        <w:rPr>
          <w:b w:val="0"/>
        </w:rPr>
      </w:pPr>
      <w:r>
        <w:t xml:space="preserve">Australia. </w:t>
      </w:r>
      <w:r>
        <w:rPr>
          <w:b w:val="0"/>
        </w:rPr>
        <w:t>I riferimenti alla “Garanzia Limitata” indicano la garanzia espressa fornita da Microsoft o dal produttore o installatore. Questa garanzia viene fornita in aggiunta agli altri diritti e rimedi riconosciuti al licenziatario per legge, inclusi i diritti e i rimedi previsti ai sensi delle garanzie di legge della Australian Consumer Law.</w:t>
      </w:r>
    </w:p>
    <w:p w:rsidR="0050688B" w:rsidRPr="00A16BD5" w:rsidRDefault="0050688B" w:rsidP="0050688B">
      <w:pPr>
        <w:pStyle w:val="Heading2"/>
        <w:numPr>
          <w:ilvl w:val="0"/>
          <w:numId w:val="0"/>
        </w:numPr>
        <w:tabs>
          <w:tab w:val="left" w:pos="720"/>
        </w:tabs>
        <w:ind w:left="717"/>
        <w:rPr>
          <w:b w:val="0"/>
        </w:rPr>
      </w:pPr>
      <w:r>
        <w:rPr>
          <w:b w:val="0"/>
        </w:rPr>
        <w:t>Nel presente Articolo il termine “beni” fa riferimento al software per il quale Microsoft oppure il Produttore o l’installatore fornisce la garanzia espressa. I beni Microsoft sono accompagnati da garanzie la cui esclusione ai sensi della Australian Consumer Law non è consentita. L’utente è autorizzato a ottenere una sostituzione o un rimborso in caso di guasto grave e un indennizzo per qualsiasi altra perdita o danno ragionevolmente prevedibile. L’utente è anche autorizzato a richiedere la riparazione o la sostituzione dei beni qualora la loro qualità non sia accettabile e il guasto non venga considerato grave.</w:t>
      </w:r>
    </w:p>
    <w:p w:rsidR="0050688B" w:rsidRPr="00A16BD5" w:rsidRDefault="0050688B" w:rsidP="0050688B">
      <w:pPr>
        <w:pStyle w:val="Heading2"/>
        <w:numPr>
          <w:ilvl w:val="0"/>
          <w:numId w:val="24"/>
        </w:numPr>
        <w:tabs>
          <w:tab w:val="left" w:pos="720"/>
        </w:tabs>
        <w:rPr>
          <w:b w:val="0"/>
        </w:rPr>
      </w:pPr>
      <w:r>
        <w:t xml:space="preserve">Canada. </w:t>
      </w:r>
      <w:r>
        <w:rPr>
          <w:b w:val="0"/>
        </w:rPr>
        <w:t>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vi sia inoltre specificato come il licenziatario potrà disattivare gli aggiornamenti per il dispositivo o il software in uso.</w:t>
      </w:r>
    </w:p>
    <w:p w:rsidR="0050688B" w:rsidRPr="00A16BD5" w:rsidRDefault="0050688B" w:rsidP="0050688B">
      <w:pPr>
        <w:pStyle w:val="Heading2"/>
        <w:numPr>
          <w:ilvl w:val="0"/>
          <w:numId w:val="24"/>
        </w:numPr>
        <w:tabs>
          <w:tab w:val="left" w:pos="720"/>
        </w:tabs>
        <w:rPr>
          <w:b w:val="0"/>
        </w:rPr>
      </w:pPr>
      <w:r>
        <w:t>Germania e Austria</w:t>
      </w:r>
      <w:r>
        <w:rPr>
          <w:b w:val="0"/>
        </w:rPr>
        <w:t>.</w:t>
      </w:r>
    </w:p>
    <w:p w:rsidR="0050688B" w:rsidRPr="00A16BD5" w:rsidRDefault="0050688B" w:rsidP="0050688B">
      <w:pPr>
        <w:ind w:left="717"/>
      </w:pPr>
      <w:r>
        <w:rPr>
          <w:b/>
        </w:rPr>
        <w:t>(i)</w:t>
      </w:r>
      <w:r>
        <w:tab/>
      </w:r>
      <w:r>
        <w:rPr>
          <w:b/>
        </w:rPr>
        <w:t>Garanzia</w:t>
      </w:r>
      <w:r>
        <w:t>. Il software validamente concesso in licenza funzionerà in sostanziale conformità a quanto descritto nel relativo materiale Microsoft. Tuttavia, Microsoft non fornisce alcuna garanzia contrattuale in relazione al software.</w:t>
      </w:r>
    </w:p>
    <w:p w:rsidR="0050688B" w:rsidRPr="00A16BD5" w:rsidRDefault="0050688B" w:rsidP="0050688B">
      <w:pPr>
        <w:ind w:left="717"/>
      </w:pPr>
      <w:r>
        <w:rPr>
          <w:b/>
        </w:rPr>
        <w:t>(ii)</w:t>
      </w:r>
      <w:r>
        <w:tab/>
      </w:r>
      <w:r>
        <w:rPr>
          <w:b/>
        </w:rPr>
        <w:t>Limitazione di responsabilità</w:t>
      </w:r>
      <w:r>
        <w:t>. In caso di comportamento intenzionale, colpa grave, reclami basati sulla Legge in materia di Responsabilità Prodotto, nonché di morte o lesioni personali, Microsoft è responsabile in conformità alla legge imperativa.</w:t>
      </w:r>
    </w:p>
    <w:p w:rsidR="00431D2B" w:rsidRPr="00A16BD5" w:rsidRDefault="0050688B" w:rsidP="008A2696">
      <w:pPr>
        <w:pStyle w:val="Heading1"/>
        <w:numPr>
          <w:ilvl w:val="0"/>
          <w:numId w:val="0"/>
        </w:numPr>
        <w:tabs>
          <w:tab w:val="left" w:pos="720"/>
        </w:tabs>
        <w:ind w:left="717"/>
        <w:rPr>
          <w:rFonts w:eastAsia="SimSun"/>
          <w:b w:val="0"/>
        </w:rPr>
      </w:pPr>
      <w:r>
        <w:rPr>
          <w:b w:val="0"/>
        </w:rPr>
        <w:t>In riferimento a quanto detto nella clausola precedente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“obbligazioni fondamentali”). In altri casi di colpa lieve Microsoft non sarà responsabile di tale colpa.</w:t>
      </w:r>
    </w:p>
    <w:p w:rsidR="00431D2B" w:rsidRPr="00A16BD5" w:rsidRDefault="00431D2B" w:rsidP="00DE3D59">
      <w:pPr>
        <w:pStyle w:val="Heading1"/>
        <w:widowControl w:val="0"/>
        <w:tabs>
          <w:tab w:val="clear" w:pos="450"/>
        </w:tabs>
        <w:rPr>
          <w:rFonts w:eastAsia="SimSun"/>
        </w:rPr>
      </w:pPr>
      <w:r>
        <w:t>LIMITAZIONE DI RESPONSABILITÀ ED ESCLUSIONE DI DANNI. IL LICENZIATARIO POTRÀ RICHIEDERE A MICROSOFT E AI SUOI FORNITORI SOLO IL RISARCIMENTO PER I DANNI DIRETTI NEL LIMITE DELL’IMPORTO EFFETTIVAMENTE PAGATO DAL LICENZIATARIO PER IL SOFTWARE. IL LICENZIATARIO NON POTRÀ RICHIEDERE IL RISARCIMENTO PER EVENTUALI ALTRI DANNI, INCLUSI I DANNI CONSEQUENZIALI, SPECIALI, INDIRETTI O ACCIDENTALI O RELATIVI ALLA PERDITA DI PROFITTI.</w:t>
      </w:r>
    </w:p>
    <w:p w:rsidR="00CA6BE6" w:rsidRPr="00F75C3A" w:rsidRDefault="00CA6BE6" w:rsidP="00DE3D59">
      <w:pPr>
        <w:pStyle w:val="Heading1Unbold"/>
        <w:numPr>
          <w:ilvl w:val="0"/>
          <w:numId w:val="0"/>
        </w:numPr>
        <w:spacing w:before="120" w:after="120"/>
        <w:ind w:left="450" w:hanging="3"/>
        <w:rPr>
          <w:bCs/>
        </w:rPr>
      </w:pPr>
      <w:r>
        <w:lastRenderedPageBreak/>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rsidR="00CA6BE6" w:rsidRPr="00F6165D" w:rsidRDefault="00CA6BE6" w:rsidP="00DE3D59">
      <w:pPr>
        <w:pStyle w:val="Heading1Unbold"/>
        <w:numPr>
          <w:ilvl w:val="0"/>
          <w:numId w:val="0"/>
        </w:numPr>
        <w:spacing w:before="120" w:after="120"/>
        <w:ind w:left="450"/>
        <w:rPr>
          <w:rFonts w:eastAsia="SimSun"/>
        </w:rPr>
      </w:pPr>
      <w:r>
        <w:t>Tale limitazione si applica anche nel caso in cui Microsoft era informata o avrebbe dovuto essere informata della possibilità del verificarsi di tali danni. La limitazione o l’esclusione di cui sopra potrebbe non essere applicabile al licenziatario, in quanto l’esclusione o la limitazione di danni incidentali, consequenziali o di altro tipo potrebbe non essere consentita nel Paese di residenza del licenziatario.</w:t>
      </w:r>
    </w:p>
    <w:p w:rsidR="00431D2B" w:rsidRPr="00A16BD5" w:rsidRDefault="00431D2B" w:rsidP="00431D2B">
      <w:pPr>
        <w:widowControl w:val="0"/>
        <w:rPr>
          <w:rFonts w:eastAsia="SimSun"/>
          <w:b/>
          <w:bCs/>
        </w:rPr>
      </w:pPr>
      <w:r>
        <w:br w:type="page"/>
      </w:r>
      <w:r>
        <w:rPr>
          <w:b/>
          <w:bCs/>
        </w:rPr>
        <w:lastRenderedPageBreak/>
        <w:t>*************************************************************************</w:t>
      </w:r>
    </w:p>
    <w:p w:rsidR="00431D2B" w:rsidRPr="00A16BD5" w:rsidRDefault="00431D2B" w:rsidP="00431D2B">
      <w:pPr>
        <w:pStyle w:val="HeadingWarranty"/>
        <w:widowControl w:val="0"/>
        <w:rPr>
          <w:rFonts w:eastAsia="SimSun"/>
        </w:rPr>
      </w:pPr>
      <w:r>
        <w:t>GARANZIA LIMITATA</w:t>
      </w:r>
    </w:p>
    <w:p w:rsidR="00431D2B" w:rsidRPr="00A16BD5" w:rsidRDefault="00431D2B" w:rsidP="00431D2B">
      <w:pPr>
        <w:pStyle w:val="Heading1Warranty"/>
        <w:widowControl w:val="0"/>
        <w:rPr>
          <w:rFonts w:eastAsia="SimSun"/>
        </w:rPr>
      </w:pPr>
      <w:r>
        <w:rPr>
          <w:b/>
          <w:bCs/>
        </w:rPr>
        <w:t>GARANZIA LIMITATA.</w:t>
      </w:r>
      <w:r>
        <w:t xml:space="preserve"> Qualora il licenziatario si attenga alle istruzioni, il software funzionerà in sostanziale conformità a quanto descritto nel materiale Microsoft che il licenziatario riceve con il software.</w:t>
      </w:r>
    </w:p>
    <w:p w:rsidR="004157F7" w:rsidRPr="00A16BD5" w:rsidRDefault="004157F7" w:rsidP="00311700">
      <w:pPr>
        <w:ind w:left="360"/>
      </w:pPr>
      <w:r>
        <w:t>Il termine “garanzia limitata” fa riferimento alla garanzia espressa fornita da Microsoft. Tale garanzia viene fornita in aggiunta agli altri diritti e rimedi riconosciuti al licenziatario in base alla legge, inclusi i diritti e i rimedi previsti in conformità alle garanzie di legge stabilite ai sensi della Legge locale per la Tutela dei Consumatori.</w:t>
      </w:r>
    </w:p>
    <w:p w:rsidR="00431D2B" w:rsidRPr="00A16BD5" w:rsidRDefault="00431D2B" w:rsidP="00431D2B">
      <w:pPr>
        <w:pStyle w:val="Heading1Warranty"/>
        <w:widowControl w:val="0"/>
        <w:rPr>
          <w:rFonts w:eastAsia="SimSun"/>
          <w:bCs/>
        </w:rPr>
      </w:pPr>
      <w:r>
        <w:rPr>
          <w:b/>
          <w:bCs/>
        </w:rPr>
        <w:t>PERIODO DI VALIDITA’ DELLA GARANZIA; DESTINATARIO DELLA GARANZIA; DURATA DI EVENTUALI GARANZIE IMPLICITE. LA GARANZIA LIMITATA HA DURATA DI UN ANNO DALLA DATA IN CUI IL SOFTWARE È STATO ACQUISTATO DAL PRIMO UTENTE. QUALORA IL LICENZIATARIO RICEVA SUPPLEMENTI, AGGIORNAMENTI O SOFTWARE SOSTITUTIVI DURANTE L'ANNO DI GARANZIA, ESSI SARANNO GARANTITI PER IL RIMANENTE PERIODO DI VALIDITÀ DELLA GARANZIA O PER 30 GIORNI, A SECONDA DI QUALE TERMINE SIA PIÙ LUNGO.</w:t>
      </w:r>
      <w:r>
        <w:t xml:space="preserve"> Qualora il primo utente trasferisca il software, il periodo rimanente della garanzia si applicherà al cessionario.</w:t>
      </w:r>
    </w:p>
    <w:p w:rsidR="00431D2B" w:rsidRPr="00A16BD5" w:rsidRDefault="00431D2B" w:rsidP="00431D2B">
      <w:pPr>
        <w:pStyle w:val="Body1"/>
        <w:widowControl w:val="0"/>
        <w:rPr>
          <w:rFonts w:eastAsia="SimSun"/>
        </w:rPr>
      </w:pPr>
      <w:r>
        <w:rPr>
          <w:b/>
          <w:bCs/>
        </w:rPr>
        <w:t>NELLA MISURA CONSENTITA DALLA LEGGE, EVENTUALI GARANZIE O CONDIZIONI IMPLICITE AVRANNO VALIDITÀ PER IL PERIODO DI VALIDITÀ DELLA GARANZIA LIMITATA.</w:t>
      </w:r>
      <w:r>
        <w:t xml:space="preserve"> Alcuni paesi non consentono limitazioni circa la durata delle garanzie implicite, pertanto queste limitazioni potrebbero non essere applicabili al licenziatario. Potrebbero inoltre non essere applicabili al licenziatario in quanto in alcuni Paesi potrebbero non essere consentite limitazioni alla durata di una garanzia o condizione implicita.</w:t>
      </w:r>
    </w:p>
    <w:p w:rsidR="00431D2B" w:rsidRPr="00A16BD5" w:rsidRDefault="00431D2B" w:rsidP="00431D2B">
      <w:pPr>
        <w:pStyle w:val="Heading1Warranty"/>
        <w:widowControl w:val="0"/>
        <w:rPr>
          <w:rFonts w:eastAsia="SimSun"/>
        </w:rPr>
      </w:pPr>
      <w:r>
        <w:rPr>
          <w:b/>
          <w:bCs/>
        </w:rPr>
        <w:t>ESCLUSIONI DALLA GARANZIA.</w:t>
      </w:r>
      <w:r>
        <w:t xml:space="preserve"> La presente garanzia non si applica a problemi derivanti da azioni (o da omissioni) del licenziatario o di terzi o da eventi al di fuori del ragionevole controllo di Microsoft.</w:t>
      </w:r>
    </w:p>
    <w:p w:rsidR="00431D2B" w:rsidRPr="00A16BD5" w:rsidRDefault="00431D2B" w:rsidP="00431D2B">
      <w:pPr>
        <w:pStyle w:val="Heading1Warranty"/>
        <w:widowControl w:val="0"/>
        <w:rPr>
          <w:rFonts w:eastAsia="SimSun"/>
          <w:b/>
          <w:bCs/>
        </w:rPr>
      </w:pPr>
      <w:r>
        <w:rPr>
          <w:b/>
          <w:bCs/>
        </w:rPr>
        <w:t>RIMEDI PER INADEMPIMENTO DELLA GARANZIA. MICROSOFT RIPARERÀ O SOSTITUIRÀ IL SOFTWARE SENZA ALCUN COSTO AGGIUNTIVO. Qualora la riparazione o la sostituzione non sia possibile, Microsoft rimborserà l’importo indicato sulla ricevuta di acquisto del software. MICROSOFT riparerà o sostituirà INOLTRE i supplementi, gli aggiornamenti e il software sostitutivo senza alcun costo aggiuntivo. Qualora MICROSOFT NON POSSA ESEGUIRE la riparazione o la sostituzione, rimborserà l’eventuale importo pagato DAL LICENZIATARIO. IL LICENZIATARIO DOVRÀ DISINSTALLARE IL SOFTWARE E RESTITUIRLO A MICROSOFT UNITAMENTE A TUTTI I SUPPORTI, AGLI ALTRI MATERIALI AD ESSO ASSOCIATI E ALLA PROVA DELL’AVVENUTO ACQUISTO PER OTTENERE IL RIMBORSO. QUESTI SONO GLI UNICI RIMEDI DEL LICENZIATARIO RELATIVI AGLI INADEMPIMENTI DELLA GARANZIA LIMITATA.</w:t>
      </w:r>
    </w:p>
    <w:p w:rsidR="00431D2B" w:rsidRPr="00A16BD5" w:rsidRDefault="00431D2B" w:rsidP="00431D2B">
      <w:pPr>
        <w:pStyle w:val="Heading1Warranty"/>
        <w:widowControl w:val="0"/>
        <w:rPr>
          <w:rFonts w:eastAsia="SimSun"/>
          <w:b/>
          <w:bCs/>
        </w:rPr>
      </w:pPr>
      <w:r>
        <w:rPr>
          <w:b/>
          <w:bCs/>
        </w:rPr>
        <w:t>DIRITTI DEI CONSUMATORI. Il presente contratto non modifica gli eventuali diritti dei consumatori riconosciuti al LICENZIATARIO dalla legge locale.</w:t>
      </w:r>
    </w:p>
    <w:p w:rsidR="00431D2B" w:rsidRPr="00A16BD5" w:rsidRDefault="00431D2B" w:rsidP="00431D2B">
      <w:pPr>
        <w:pStyle w:val="Heading1Warranty"/>
        <w:widowControl w:val="0"/>
        <w:rPr>
          <w:rFonts w:eastAsia="SimSun"/>
          <w:bCs/>
        </w:rPr>
      </w:pPr>
      <w:r>
        <w:rPr>
          <w:b/>
          <w:bCs/>
        </w:rPr>
        <w:t xml:space="preserve">PROCEDURE PER LA GARANZIA. </w:t>
      </w:r>
      <w:r>
        <w:t>Per usufruire del servizio di garanzia, il licenziatario deve disporre della prova di acquisto.</w:t>
      </w:r>
    </w:p>
    <w:p w:rsidR="00431D2B" w:rsidRPr="00A16BD5" w:rsidRDefault="00431D2B" w:rsidP="00431D2B">
      <w:pPr>
        <w:pStyle w:val="Heading2Warranty"/>
        <w:widowControl w:val="0"/>
        <w:rPr>
          <w:rFonts w:eastAsia="SimSun"/>
        </w:rPr>
      </w:pPr>
      <w:r>
        <w:rPr>
          <w:b/>
          <w:bCs/>
        </w:rPr>
        <w:t>Stati Uniti e Canada.</w:t>
      </w:r>
      <w:r>
        <w:t xml:space="preserve"> Per disporre del servizio di garanzia o per informazioni su come ottenere il rimborso per il software acquistato negli Stati Uniti e in Canada, il licenziatario può contattare Microsoft:</w:t>
      </w:r>
    </w:p>
    <w:p w:rsidR="00431D2B" w:rsidRPr="00A16BD5" w:rsidRDefault="00431D2B" w:rsidP="001142D7">
      <w:pPr>
        <w:pStyle w:val="Bullet3"/>
        <w:widowControl w:val="0"/>
        <w:tabs>
          <w:tab w:val="clear" w:pos="1800"/>
          <w:tab w:val="num" w:pos="1170"/>
        </w:tabs>
        <w:ind w:left="1080" w:hanging="360"/>
        <w:rPr>
          <w:rFonts w:eastAsia="SimSun"/>
        </w:rPr>
      </w:pPr>
      <w:r>
        <w:t>(800) MICROSOFT;</w:t>
      </w:r>
    </w:p>
    <w:p w:rsidR="00431D2B" w:rsidRPr="00A16BD5" w:rsidRDefault="00431D2B" w:rsidP="001142D7">
      <w:pPr>
        <w:pStyle w:val="Bullet3"/>
        <w:widowControl w:val="0"/>
        <w:tabs>
          <w:tab w:val="clear" w:pos="1800"/>
          <w:tab w:val="num" w:pos="1170"/>
        </w:tabs>
        <w:ind w:left="1080" w:hanging="360"/>
        <w:rPr>
          <w:rFonts w:eastAsia="SimSun"/>
        </w:rPr>
      </w:pPr>
      <w:r>
        <w:t>all’indirizzo Microsoft Customer Service and Support /One Microsoft Way/Redmond, WA 98052-6399 oppure</w:t>
      </w:r>
    </w:p>
    <w:p w:rsidR="00431D2B" w:rsidRPr="00A16BD5" w:rsidRDefault="00431D2B" w:rsidP="001142D7">
      <w:pPr>
        <w:pStyle w:val="Bullet3"/>
        <w:widowControl w:val="0"/>
        <w:tabs>
          <w:tab w:val="clear" w:pos="1800"/>
          <w:tab w:val="num" w:pos="1170"/>
        </w:tabs>
        <w:ind w:left="1080" w:hanging="360"/>
        <w:rPr>
          <w:rFonts w:eastAsia="SimSun"/>
        </w:rPr>
      </w:pPr>
      <w:r>
        <w:t xml:space="preserve">visitando la pagina </w:t>
      </w:r>
      <w:r>
        <w:rPr>
          <w:rStyle w:val="Hyperlink"/>
          <w:color w:val="auto"/>
          <w:u w:val="none"/>
        </w:rPr>
        <w:t>(aka.ms/nareturns)</w:t>
      </w:r>
      <w:r>
        <w:t>.</w:t>
      </w:r>
    </w:p>
    <w:p w:rsidR="00431D2B" w:rsidRPr="00A16BD5" w:rsidRDefault="00431D2B" w:rsidP="00431D2B">
      <w:pPr>
        <w:pStyle w:val="Heading2Warranty"/>
        <w:widowControl w:val="0"/>
        <w:rPr>
          <w:rFonts w:eastAsia="SimSun"/>
          <w:b/>
          <w:bCs/>
        </w:rPr>
      </w:pPr>
      <w:r>
        <w:rPr>
          <w:b/>
          <w:bCs/>
        </w:rPr>
        <w:t xml:space="preserve">Europa, Medio Oriente e Africa. </w:t>
      </w:r>
      <w:r>
        <w:t>Se il licenziatario ha acquistato il software in Europa, Medio Oriente o Africa, la presente garanzia limitata è concessa da Microsoft Ireland Operations Limited. Per presentare eventuali reclami ai sensi della presente garanzia, il licenziatario deve contattare:</w:t>
      </w:r>
    </w:p>
    <w:p w:rsidR="00431D2B" w:rsidRPr="00A16BD5" w:rsidRDefault="00431D2B" w:rsidP="001142D7">
      <w:pPr>
        <w:pStyle w:val="Bullet3"/>
        <w:widowControl w:val="0"/>
        <w:tabs>
          <w:tab w:val="clear" w:pos="1800"/>
          <w:tab w:val="num" w:pos="1080"/>
        </w:tabs>
        <w:ind w:left="1080" w:hanging="360"/>
        <w:rPr>
          <w:rFonts w:eastAsia="SimSun"/>
        </w:rPr>
      </w:pPr>
      <w:r>
        <w:t>Microsoft Ireland Operations Limited, Customer Care Centre, Atrium Building Block B, Carmanhall Road, Sandyford Industrial Estate, Dublin 18, Ireland oppure</w:t>
      </w:r>
    </w:p>
    <w:p w:rsidR="00431D2B" w:rsidRPr="00A16BD5" w:rsidRDefault="00431D2B" w:rsidP="001142D7">
      <w:pPr>
        <w:pStyle w:val="Bullet3"/>
        <w:widowControl w:val="0"/>
        <w:tabs>
          <w:tab w:val="clear" w:pos="1800"/>
          <w:tab w:val="num" w:pos="1080"/>
        </w:tabs>
        <w:ind w:left="1080" w:hanging="360"/>
        <w:rPr>
          <w:rFonts w:eastAsia="SimSun"/>
        </w:rPr>
      </w:pPr>
      <w:r>
        <w:t>la consociata Microsoft del proprio Paese visitando la pagina (aka.ms/msoffices).</w:t>
      </w:r>
    </w:p>
    <w:p w:rsidR="0058582B" w:rsidRPr="00A16BD5" w:rsidRDefault="0058582B" w:rsidP="0058582B">
      <w:pPr>
        <w:widowControl w:val="0"/>
        <w:numPr>
          <w:ilvl w:val="1"/>
          <w:numId w:val="5"/>
        </w:numPr>
        <w:outlineLvl w:val="1"/>
        <w:rPr>
          <w:rFonts w:eastAsia="SimSun"/>
        </w:rPr>
      </w:pPr>
      <w:r>
        <w:rPr>
          <w:b/>
          <w:bCs/>
        </w:rPr>
        <w:t xml:space="preserve">Australia. </w:t>
      </w:r>
      <w:r>
        <w:t>Per ricevere i Servizi di Garanzia o un rimborso spese in relazione alla garanzia (a seconda dei casi) per il software acquistato in Australia, il licenziatario può contattare Microsoft al numero</w:t>
      </w:r>
    </w:p>
    <w:p w:rsidR="0058582B" w:rsidRPr="00A16BD5" w:rsidRDefault="0058582B" w:rsidP="0058582B">
      <w:pPr>
        <w:widowControl w:val="0"/>
        <w:numPr>
          <w:ilvl w:val="0"/>
          <w:numId w:val="2"/>
        </w:numPr>
        <w:tabs>
          <w:tab w:val="clear" w:pos="1800"/>
          <w:tab w:val="num" w:pos="1080"/>
        </w:tabs>
        <w:ind w:left="1077"/>
        <w:rPr>
          <w:rFonts w:eastAsia="SimSun"/>
        </w:rPr>
      </w:pPr>
      <w:r>
        <w:t>13 20 58 o</w:t>
      </w:r>
    </w:p>
    <w:p w:rsidR="0058582B" w:rsidRPr="00A16BD5" w:rsidRDefault="0058582B" w:rsidP="001142D7">
      <w:pPr>
        <w:pStyle w:val="Bullet3"/>
        <w:widowControl w:val="0"/>
        <w:tabs>
          <w:tab w:val="clear" w:pos="1800"/>
          <w:tab w:val="num" w:pos="1080"/>
        </w:tabs>
        <w:ind w:left="1080" w:hanging="360"/>
        <w:rPr>
          <w:rFonts w:eastAsia="SimSun"/>
        </w:rPr>
      </w:pPr>
      <w:r>
        <w:lastRenderedPageBreak/>
        <w:t>scrivendo a Microsoft Pty Ltd, 1 Epping Road, North Ryde NSW 2113, Australia.</w:t>
      </w:r>
    </w:p>
    <w:p w:rsidR="00431D2B" w:rsidRPr="00A16BD5" w:rsidRDefault="00431D2B" w:rsidP="00431D2B">
      <w:pPr>
        <w:pStyle w:val="Heading2Warranty"/>
        <w:widowControl w:val="0"/>
        <w:rPr>
          <w:rFonts w:eastAsia="SimSun"/>
          <w:bCs/>
        </w:rPr>
      </w:pPr>
      <w:r>
        <w:rPr>
          <w:b/>
          <w:bCs/>
        </w:rPr>
        <w:t xml:space="preserve">Al di fuori di Stati Uniti, Canada, Europa, Medio Oriente, Africa e Australia. </w:t>
      </w:r>
      <w:r>
        <w:t>Qualora il licenziatario abbia acquistato il software al di fuori di Stati Uniti, Canada, Europa, Medio Oriente, Africa e Australia, dovrà contattare la consociata Microsoft del proprio Paese visitando la pagina (</w:t>
      </w:r>
      <w:r>
        <w:rPr>
          <w:rStyle w:val="Hyperlink"/>
          <w:color w:val="auto"/>
          <w:u w:val="none"/>
        </w:rPr>
        <w:t>aka.ms/msoffices</w:t>
      </w:r>
      <w:r>
        <w:t>).</w:t>
      </w:r>
    </w:p>
    <w:p w:rsidR="00431D2B" w:rsidRPr="00A16BD5" w:rsidRDefault="00431D2B" w:rsidP="00431D2B">
      <w:pPr>
        <w:pStyle w:val="Heading1Warranty"/>
        <w:widowControl w:val="0"/>
        <w:rPr>
          <w:rFonts w:eastAsia="SimSun"/>
        </w:rPr>
      </w:pPr>
      <w:r>
        <w:rPr>
          <w:b/>
          <w:bCs/>
        </w:rPr>
        <w:t>ESCLUSIONE DI ALTRE GARANZIE. La garanzia limitata è l’unica garanzia diretta concessa da Microsoft. NON VENGONO FORNITE ALTRE GARANZIE O CONDIZIONI ESPRESSE. NELLA MISURA MASSIMA consentitA dalla legge applicabile, vengono escluse eventuali garanzie implicite di commerciabilità, idoneità per uno scopo specifico e non violazione dei diritti altrui.</w:t>
      </w:r>
      <w:r>
        <w:t xml:space="preserve"> Qualora, nonostante la presente esclusione, le leggi locali riconoscano al licenziatario eventuali garanzie o condizioni implicite, i rimedi del licenziatario descritti nella clausola Rimedi per Inadempimento della Garanzia troveranno comunque applicazione, nella misura consentita dalle leggi locali.</w:t>
      </w:r>
    </w:p>
    <w:p w:rsidR="005F22E5" w:rsidRPr="00A16BD5" w:rsidRDefault="005F22E5" w:rsidP="00233AF8">
      <w:pPr>
        <w:ind w:left="360"/>
      </w:pPr>
      <w:r>
        <w:rPr>
          <w:b/>
        </w:rPr>
        <w:t>SOLO PER L’AUSTRALIA</w:t>
      </w:r>
      <w:r>
        <w:t xml:space="preserve">. Il termine “Garanzia Limitata” fa riferimento alla garanzia fornita da Microsoft. Questa garanzia viene fornita in aggiunta agli altri diritti e rimedi riconosciuti al licenziatario per legge, inclusi i diritti e i rimedi previsti in conformità alle garanzie di legge stabilite ai sensi della Australian Consumer Law. I beni Microsoft sono accompagnati da garanzie la cui esclusione ai sensi della Australian Consumer Law non è consentita. L’utente è autorizzato a ottenere una sostituzione o un rimborso in caso di guasto grave e un indennizzo per qualsiasi altra perdita o danno ragionevolmente prevedibile. L’utente è anche autorizzato a richiedere la riparazione o la sostituzione dei beni qualora la loro qualità non sia accettabile e il guasto non venga considerato grave. I beni presentati per essere riparati potranno essere sostituiti con beni ricondizionati dello stesso tipo, invece che riparati. Per la riparazione dei beni potranno essere utilizzate parti rigenerate. </w:t>
      </w:r>
    </w:p>
    <w:p w:rsidR="00431D2B" w:rsidRPr="00A16BD5" w:rsidRDefault="00431D2B" w:rsidP="00431D2B">
      <w:pPr>
        <w:pStyle w:val="Heading1Warranty"/>
        <w:widowControl w:val="0"/>
        <w:rPr>
          <w:rFonts w:eastAsia="SimSun"/>
          <w:b/>
          <w:bCs/>
        </w:rPr>
      </w:pPr>
      <w:r>
        <w:rPr>
          <w:b/>
          <w:bCs/>
        </w:rPr>
        <w:t>LIMITAZIONE DI RESPONSABILITÀ ED ESCLUSIONE DI DANNI PER INADEMPIMENTO DELLA GARANZIA. LA CLAUSOLA LIMITAZIONE DI RESPONSABILITÀ ED ESCLUSIONE DI DANNI SI APPLICA AGLI INADEMPIMENTI DELLA PRESENTE GARANZIA LIMITATA.</w:t>
      </w:r>
    </w:p>
    <w:p w:rsidR="00D96E58" w:rsidRDefault="00431D2B" w:rsidP="00E50F1E">
      <w:pPr>
        <w:ind w:left="360"/>
        <w:rPr>
          <w:rFonts w:eastAsia="SimSun"/>
          <w:b/>
          <w:bCs/>
        </w:rPr>
      </w:pPr>
      <w:r>
        <w:rPr>
          <w:b/>
          <w:bCs/>
        </w:rPr>
        <w:t>OLTRE AGLI SPECIFICI DIRITTI RICONOSCIUTI AL LICENZIATARIO CONFERITI DALLA PRESENTE GARANZIA, IL LICENZIATARIO POTRÀ BENEFICIARE DI ALTRI DIRITTI CHE VARIANO DA STATO A STATO. IL LICENZIATRIO potrebbe, inoltre, beneficiare di altri diritti che variano da Paese a Paese.</w:t>
      </w:r>
    </w:p>
    <w:p w:rsidR="00195C56" w:rsidRDefault="00195C56" w:rsidP="00E50F1E">
      <w:pPr>
        <w:ind w:left="360"/>
        <w:rPr>
          <w:rFonts w:eastAsia="SimSun"/>
          <w:b/>
          <w:bCs/>
        </w:rPr>
      </w:pPr>
    </w:p>
    <w:p w:rsidR="00195C56" w:rsidRPr="00195C56" w:rsidRDefault="00195C56" w:rsidP="00E50F1E">
      <w:pPr>
        <w:ind w:left="360"/>
        <w:rPr>
          <w:rFonts w:eastAsia="SimSun"/>
          <w:bCs/>
        </w:rPr>
      </w:pPr>
      <w:r>
        <w:t>EULA ID: VS2017_ENT_PRO_TRIAL_RTW.2_</w:t>
      </w:r>
      <w:r w:rsidR="00E46BA8">
        <w:t>ITA</w:t>
      </w:r>
      <w:bookmarkStart w:id="1" w:name="_GoBack"/>
      <w:bookmarkEnd w:id="1"/>
    </w:p>
    <w:p w:rsidR="00173A00" w:rsidRPr="005A02DA" w:rsidRDefault="00173A00" w:rsidP="00431D2B"/>
    <w:sectPr w:rsidR="00173A00" w:rsidRPr="005A02DA" w:rsidSect="00BC2CA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F2C" w:rsidRDefault="00300F2C" w:rsidP="006E2947">
      <w:pPr>
        <w:spacing w:before="0" w:after="0"/>
      </w:pPr>
      <w:r>
        <w:separator/>
      </w:r>
    </w:p>
  </w:endnote>
  <w:endnote w:type="continuationSeparator" w:id="0">
    <w:p w:rsidR="00300F2C" w:rsidRDefault="00300F2C" w:rsidP="006E2947">
      <w:pPr>
        <w:spacing w:before="0" w:after="0"/>
      </w:pPr>
      <w:r>
        <w:continuationSeparator/>
      </w:r>
    </w:p>
  </w:endnote>
  <w:endnote w:type="continuationNotice" w:id="1">
    <w:p w:rsidR="00300F2C" w:rsidRDefault="00300F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F2C" w:rsidRDefault="00300F2C" w:rsidP="006E2947">
      <w:pPr>
        <w:spacing w:before="0" w:after="0"/>
      </w:pPr>
      <w:r>
        <w:separator/>
      </w:r>
    </w:p>
  </w:footnote>
  <w:footnote w:type="continuationSeparator" w:id="0">
    <w:p w:rsidR="00300F2C" w:rsidRDefault="00300F2C" w:rsidP="006E2947">
      <w:pPr>
        <w:spacing w:before="0" w:after="0"/>
      </w:pPr>
      <w:r>
        <w:continuationSeparator/>
      </w:r>
    </w:p>
  </w:footnote>
  <w:footnote w:type="continuationNotice" w:id="1">
    <w:p w:rsidR="00300F2C" w:rsidRDefault="00300F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5E2"/>
    <w:multiLevelType w:val="multilevel"/>
    <w:tmpl w:val="5D6C4EF0"/>
    <w:lvl w:ilvl="0">
      <w:start w:val="1"/>
      <w:numFmt w:val="bullet"/>
      <w:lvlText w:val=""/>
      <w:lvlJc w:val="left"/>
      <w:pPr>
        <w:tabs>
          <w:tab w:val="num" w:pos="717"/>
        </w:tabs>
        <w:ind w:left="714" w:hanging="357"/>
      </w:pPr>
      <w:rPr>
        <w:rFonts w:ascii="Symbol" w:hAnsi="Symbol" w:hint="default"/>
        <w:b/>
        <w:i w:val="0"/>
        <w:sz w:val="20"/>
      </w:rPr>
    </w:lvl>
    <w:lvl w:ilvl="1">
      <w:start w:val="6"/>
      <w:numFmt w:val="upperLetter"/>
      <w:lvlText w:val="%2."/>
      <w:lvlJc w:val="left"/>
      <w:pPr>
        <w:tabs>
          <w:tab w:val="num" w:pos="1077"/>
        </w:tabs>
        <w:ind w:left="1077" w:hanging="363"/>
      </w:pPr>
      <w:rPr>
        <w:rFonts w:cs="Times New Roman" w:hint="default"/>
        <w:b/>
        <w:i w:val="0"/>
        <w:sz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54942CA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2AE8611C"/>
    <w:lvl w:ilvl="0">
      <w:start w:val="3"/>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1DC0096B"/>
    <w:multiLevelType w:val="multilevel"/>
    <w:tmpl w:val="670A413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1840C0F"/>
    <w:multiLevelType w:val="multilevel"/>
    <w:tmpl w:val="970AF510"/>
    <w:lvl w:ilvl="0">
      <w:start w:val="1"/>
      <w:numFmt w:val="decimal"/>
      <w:pStyle w:val="Heading1"/>
      <w:lvlText w:val="%1."/>
      <w:lvlJc w:val="left"/>
      <w:pPr>
        <w:tabs>
          <w:tab w:val="num" w:pos="450"/>
        </w:tabs>
        <w:ind w:left="447" w:hanging="357"/>
      </w:pPr>
      <w:rPr>
        <w:rFonts w:ascii="Tahoma" w:hAnsi="Tahoma" w:cs="Tahoma" w:hint="default"/>
        <w:b/>
        <w:bCs/>
        <w:i w:val="0"/>
        <w:iCs w:val="0"/>
        <w:sz w:val="20"/>
        <w:szCs w:val="20"/>
      </w:rPr>
    </w:lvl>
    <w:lvl w:ilvl="1">
      <w:start w:val="1"/>
      <w:numFmt w:val="lowerLetter"/>
      <w:pStyle w:val="Heading2"/>
      <w:lvlText w:val="%2."/>
      <w:lvlJc w:val="left"/>
      <w:pPr>
        <w:tabs>
          <w:tab w:val="num" w:pos="1533"/>
        </w:tabs>
        <w:ind w:left="153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2AE97690"/>
    <w:multiLevelType w:val="hybridMultilevel"/>
    <w:tmpl w:val="D7B4A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B5530E"/>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51642FE0"/>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5"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C56961"/>
    <w:multiLevelType w:val="multilevel"/>
    <w:tmpl w:val="A002193A"/>
    <w:lvl w:ilvl="0">
      <w:start w:val="5"/>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9" w15:restartNumberingAfterBreak="0">
    <w:nsid w:val="763B0FD6"/>
    <w:multiLevelType w:val="multilevel"/>
    <w:tmpl w:val="7E26F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4"/>
  </w:num>
  <w:num w:numId="2">
    <w:abstractNumId w:val="13"/>
  </w:num>
  <w:num w:numId="3">
    <w:abstractNumId w:val="12"/>
  </w:num>
  <w:num w:numId="4">
    <w:abstractNumId w:val="15"/>
  </w:num>
  <w:num w:numId="5">
    <w:abstractNumId w:val="2"/>
  </w:num>
  <w:num w:numId="6">
    <w:abstractNumId w:val="7"/>
  </w:num>
  <w:num w:numId="7">
    <w:abstractNumId w:val="11"/>
  </w:num>
  <w:num w:numId="8">
    <w:abstractNumId w:val="5"/>
  </w:num>
  <w:num w:numId="9">
    <w:abstractNumId w:val="18"/>
  </w:num>
  <w:num w:numId="10">
    <w:abstractNumId w:val="0"/>
  </w:num>
  <w:num w:numId="11">
    <w:abstractNumId w:val="16"/>
  </w:num>
  <w:num w:numId="12">
    <w:abstractNumId w:val="17"/>
  </w:num>
  <w:num w:numId="13">
    <w:abstractNumId w:val="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7"/>
  </w:num>
  <w:num w:numId="28">
    <w:abstractNumId w:val="7"/>
  </w:num>
  <w:num w:numId="29">
    <w:abstractNumId w:val="9"/>
  </w:num>
  <w:num w:numId="30">
    <w:abstractNumId w:val="7"/>
  </w:num>
  <w:num w:numId="31">
    <w:abstractNumId w:val="7"/>
  </w:num>
  <w:num w:numId="32">
    <w:abstractNumId w:val="7"/>
  </w:num>
  <w:num w:numId="33">
    <w:abstractNumId w:val="7"/>
  </w:num>
  <w:num w:numId="34">
    <w:abstractNumId w:val="7"/>
    <w:lvlOverride w:ilvl="0">
      <w:startOverride w:val="7"/>
    </w:lvlOverride>
  </w:num>
  <w:num w:numId="35">
    <w:abstractNumId w:val="7"/>
  </w:num>
  <w:num w:numId="36">
    <w:abstractNumId w:val="7"/>
    <w:lvlOverride w:ilvl="0">
      <w:startOverride w:val="7"/>
    </w:lvlOverride>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52DF"/>
    <w:rsid w:val="000076DC"/>
    <w:rsid w:val="00010D39"/>
    <w:rsid w:val="00010FDD"/>
    <w:rsid w:val="00014F46"/>
    <w:rsid w:val="00016232"/>
    <w:rsid w:val="00020E2D"/>
    <w:rsid w:val="00022F68"/>
    <w:rsid w:val="00023CEB"/>
    <w:rsid w:val="00023E0C"/>
    <w:rsid w:val="00024CC2"/>
    <w:rsid w:val="000272C5"/>
    <w:rsid w:val="00027401"/>
    <w:rsid w:val="00030B07"/>
    <w:rsid w:val="00032308"/>
    <w:rsid w:val="000414E4"/>
    <w:rsid w:val="00045905"/>
    <w:rsid w:val="00047CA9"/>
    <w:rsid w:val="000518AA"/>
    <w:rsid w:val="00052198"/>
    <w:rsid w:val="00052331"/>
    <w:rsid w:val="0005493C"/>
    <w:rsid w:val="00060D70"/>
    <w:rsid w:val="00061E89"/>
    <w:rsid w:val="000660D6"/>
    <w:rsid w:val="00070E4B"/>
    <w:rsid w:val="000722DD"/>
    <w:rsid w:val="000807D9"/>
    <w:rsid w:val="0008150F"/>
    <w:rsid w:val="000849DC"/>
    <w:rsid w:val="00086C54"/>
    <w:rsid w:val="000905EF"/>
    <w:rsid w:val="00091565"/>
    <w:rsid w:val="000A1D59"/>
    <w:rsid w:val="000B216E"/>
    <w:rsid w:val="000B49F7"/>
    <w:rsid w:val="000B56EF"/>
    <w:rsid w:val="000C02E6"/>
    <w:rsid w:val="000C5BEA"/>
    <w:rsid w:val="000C69E0"/>
    <w:rsid w:val="000C7E16"/>
    <w:rsid w:val="000C7FC8"/>
    <w:rsid w:val="000D0DF1"/>
    <w:rsid w:val="000D1833"/>
    <w:rsid w:val="000D201D"/>
    <w:rsid w:val="000D21E7"/>
    <w:rsid w:val="000D2AA7"/>
    <w:rsid w:val="000D57A3"/>
    <w:rsid w:val="000D704B"/>
    <w:rsid w:val="000D7699"/>
    <w:rsid w:val="000E14A5"/>
    <w:rsid w:val="000E2C40"/>
    <w:rsid w:val="000E3C40"/>
    <w:rsid w:val="000E6AA8"/>
    <w:rsid w:val="000F00F5"/>
    <w:rsid w:val="000F0955"/>
    <w:rsid w:val="000F0D56"/>
    <w:rsid w:val="000F1A07"/>
    <w:rsid w:val="000F2756"/>
    <w:rsid w:val="00102CA5"/>
    <w:rsid w:val="00103021"/>
    <w:rsid w:val="00103464"/>
    <w:rsid w:val="00104D31"/>
    <w:rsid w:val="00110058"/>
    <w:rsid w:val="001128F1"/>
    <w:rsid w:val="00113E45"/>
    <w:rsid w:val="001142D7"/>
    <w:rsid w:val="0011570B"/>
    <w:rsid w:val="0012421A"/>
    <w:rsid w:val="00126816"/>
    <w:rsid w:val="00132A89"/>
    <w:rsid w:val="00133BDD"/>
    <w:rsid w:val="00140DF2"/>
    <w:rsid w:val="00141C55"/>
    <w:rsid w:val="001428E4"/>
    <w:rsid w:val="00145B56"/>
    <w:rsid w:val="00151392"/>
    <w:rsid w:val="0015242D"/>
    <w:rsid w:val="0015512C"/>
    <w:rsid w:val="001606CE"/>
    <w:rsid w:val="00161834"/>
    <w:rsid w:val="00163DB0"/>
    <w:rsid w:val="001650D0"/>
    <w:rsid w:val="00165DA5"/>
    <w:rsid w:val="00166929"/>
    <w:rsid w:val="00170CC2"/>
    <w:rsid w:val="00173A00"/>
    <w:rsid w:val="0018207A"/>
    <w:rsid w:val="001930E6"/>
    <w:rsid w:val="00195C56"/>
    <w:rsid w:val="001A08F8"/>
    <w:rsid w:val="001A53AF"/>
    <w:rsid w:val="001B209F"/>
    <w:rsid w:val="001B6AF1"/>
    <w:rsid w:val="001C02A1"/>
    <w:rsid w:val="001C13BA"/>
    <w:rsid w:val="001C2EA6"/>
    <w:rsid w:val="001C2FDB"/>
    <w:rsid w:val="001C780D"/>
    <w:rsid w:val="001D0DB4"/>
    <w:rsid w:val="001D1F68"/>
    <w:rsid w:val="001D3A43"/>
    <w:rsid w:val="001D4376"/>
    <w:rsid w:val="001D5E46"/>
    <w:rsid w:val="001D61E0"/>
    <w:rsid w:val="001D6B54"/>
    <w:rsid w:val="001D74CB"/>
    <w:rsid w:val="001E69E2"/>
    <w:rsid w:val="001F30A7"/>
    <w:rsid w:val="001F4F58"/>
    <w:rsid w:val="001F77C2"/>
    <w:rsid w:val="002017BB"/>
    <w:rsid w:val="00207F41"/>
    <w:rsid w:val="0021272C"/>
    <w:rsid w:val="00215B75"/>
    <w:rsid w:val="002175B0"/>
    <w:rsid w:val="0022127D"/>
    <w:rsid w:val="0022191E"/>
    <w:rsid w:val="00222A25"/>
    <w:rsid w:val="00222AFC"/>
    <w:rsid w:val="00231607"/>
    <w:rsid w:val="00233ABE"/>
    <w:rsid w:val="00233AF8"/>
    <w:rsid w:val="0023629D"/>
    <w:rsid w:val="00240122"/>
    <w:rsid w:val="00245370"/>
    <w:rsid w:val="00250922"/>
    <w:rsid w:val="00250FC4"/>
    <w:rsid w:val="002512DE"/>
    <w:rsid w:val="0025434C"/>
    <w:rsid w:val="00271470"/>
    <w:rsid w:val="00272EDA"/>
    <w:rsid w:val="0027300A"/>
    <w:rsid w:val="00275640"/>
    <w:rsid w:val="002778B9"/>
    <w:rsid w:val="00280182"/>
    <w:rsid w:val="00280A48"/>
    <w:rsid w:val="00281076"/>
    <w:rsid w:val="00281D12"/>
    <w:rsid w:val="00284D15"/>
    <w:rsid w:val="00285B4C"/>
    <w:rsid w:val="00286F02"/>
    <w:rsid w:val="002877DC"/>
    <w:rsid w:val="00287B36"/>
    <w:rsid w:val="002917D4"/>
    <w:rsid w:val="002924F3"/>
    <w:rsid w:val="00292ADE"/>
    <w:rsid w:val="00294947"/>
    <w:rsid w:val="002960F8"/>
    <w:rsid w:val="002A1974"/>
    <w:rsid w:val="002A1BA5"/>
    <w:rsid w:val="002A3965"/>
    <w:rsid w:val="002A3EB1"/>
    <w:rsid w:val="002A48D4"/>
    <w:rsid w:val="002A494A"/>
    <w:rsid w:val="002B5206"/>
    <w:rsid w:val="002B5D8B"/>
    <w:rsid w:val="002B6927"/>
    <w:rsid w:val="002B7AB9"/>
    <w:rsid w:val="002C3883"/>
    <w:rsid w:val="002C5B02"/>
    <w:rsid w:val="002C78CE"/>
    <w:rsid w:val="002D1A8A"/>
    <w:rsid w:val="002D5A9C"/>
    <w:rsid w:val="002D6E49"/>
    <w:rsid w:val="002E2EB2"/>
    <w:rsid w:val="002E672E"/>
    <w:rsid w:val="002E7CC5"/>
    <w:rsid w:val="002F052A"/>
    <w:rsid w:val="002F332F"/>
    <w:rsid w:val="002F587C"/>
    <w:rsid w:val="003006FE"/>
    <w:rsid w:val="00300F2C"/>
    <w:rsid w:val="00302B7D"/>
    <w:rsid w:val="003036BF"/>
    <w:rsid w:val="00311700"/>
    <w:rsid w:val="003172D5"/>
    <w:rsid w:val="003176D3"/>
    <w:rsid w:val="00317D11"/>
    <w:rsid w:val="0032181D"/>
    <w:rsid w:val="0032258A"/>
    <w:rsid w:val="00323240"/>
    <w:rsid w:val="00323737"/>
    <w:rsid w:val="00327DA8"/>
    <w:rsid w:val="00333102"/>
    <w:rsid w:val="00333313"/>
    <w:rsid w:val="00334264"/>
    <w:rsid w:val="00334578"/>
    <w:rsid w:val="003360A4"/>
    <w:rsid w:val="003375F7"/>
    <w:rsid w:val="00344906"/>
    <w:rsid w:val="003459B1"/>
    <w:rsid w:val="00347F4A"/>
    <w:rsid w:val="00350057"/>
    <w:rsid w:val="00357900"/>
    <w:rsid w:val="00361626"/>
    <w:rsid w:val="00365640"/>
    <w:rsid w:val="00375AD6"/>
    <w:rsid w:val="00381853"/>
    <w:rsid w:val="00382784"/>
    <w:rsid w:val="00382A4C"/>
    <w:rsid w:val="003854C2"/>
    <w:rsid w:val="00390B57"/>
    <w:rsid w:val="00391CED"/>
    <w:rsid w:val="00392C49"/>
    <w:rsid w:val="00393244"/>
    <w:rsid w:val="003A0255"/>
    <w:rsid w:val="003A2A35"/>
    <w:rsid w:val="003A3C88"/>
    <w:rsid w:val="003A4315"/>
    <w:rsid w:val="003A7AF2"/>
    <w:rsid w:val="003A7FCD"/>
    <w:rsid w:val="003B29F8"/>
    <w:rsid w:val="003B2DC3"/>
    <w:rsid w:val="003B3DDF"/>
    <w:rsid w:val="003B6171"/>
    <w:rsid w:val="003B6BC8"/>
    <w:rsid w:val="003C48AD"/>
    <w:rsid w:val="003C6BE3"/>
    <w:rsid w:val="003D15FA"/>
    <w:rsid w:val="003D220E"/>
    <w:rsid w:val="003D616D"/>
    <w:rsid w:val="003E5D63"/>
    <w:rsid w:val="003E7B3F"/>
    <w:rsid w:val="003F2225"/>
    <w:rsid w:val="003F416E"/>
    <w:rsid w:val="003F57F8"/>
    <w:rsid w:val="003F5FB2"/>
    <w:rsid w:val="003F78CD"/>
    <w:rsid w:val="004025A2"/>
    <w:rsid w:val="00402F79"/>
    <w:rsid w:val="004034E2"/>
    <w:rsid w:val="00405CCB"/>
    <w:rsid w:val="00405EDF"/>
    <w:rsid w:val="00406BF7"/>
    <w:rsid w:val="004105CE"/>
    <w:rsid w:val="0041282F"/>
    <w:rsid w:val="00413271"/>
    <w:rsid w:val="004151E1"/>
    <w:rsid w:val="004157F7"/>
    <w:rsid w:val="004163D3"/>
    <w:rsid w:val="00423740"/>
    <w:rsid w:val="00424376"/>
    <w:rsid w:val="00426FB3"/>
    <w:rsid w:val="00431D2B"/>
    <w:rsid w:val="00432FB9"/>
    <w:rsid w:val="00433FE1"/>
    <w:rsid w:val="00442AB9"/>
    <w:rsid w:val="0044674D"/>
    <w:rsid w:val="00450BBB"/>
    <w:rsid w:val="004603E1"/>
    <w:rsid w:val="00460D02"/>
    <w:rsid w:val="0046185D"/>
    <w:rsid w:val="00461FE2"/>
    <w:rsid w:val="00462F7B"/>
    <w:rsid w:val="0046420D"/>
    <w:rsid w:val="004643A2"/>
    <w:rsid w:val="00466A1C"/>
    <w:rsid w:val="00466F1B"/>
    <w:rsid w:val="00471475"/>
    <w:rsid w:val="00474A6B"/>
    <w:rsid w:val="00477703"/>
    <w:rsid w:val="0047799F"/>
    <w:rsid w:val="004914ED"/>
    <w:rsid w:val="00492080"/>
    <w:rsid w:val="00493D55"/>
    <w:rsid w:val="00496FDF"/>
    <w:rsid w:val="004A20B3"/>
    <w:rsid w:val="004A22CC"/>
    <w:rsid w:val="004A2CF2"/>
    <w:rsid w:val="004A3E7B"/>
    <w:rsid w:val="004A47C4"/>
    <w:rsid w:val="004A52BA"/>
    <w:rsid w:val="004A6FF6"/>
    <w:rsid w:val="004B2594"/>
    <w:rsid w:val="004B49DA"/>
    <w:rsid w:val="004B52CA"/>
    <w:rsid w:val="004B75D5"/>
    <w:rsid w:val="004B7989"/>
    <w:rsid w:val="004C11E2"/>
    <w:rsid w:val="004C2CF0"/>
    <w:rsid w:val="004C68D5"/>
    <w:rsid w:val="004C716C"/>
    <w:rsid w:val="004C7BCE"/>
    <w:rsid w:val="004D1301"/>
    <w:rsid w:val="004D2CB3"/>
    <w:rsid w:val="004D507E"/>
    <w:rsid w:val="004D7172"/>
    <w:rsid w:val="004E0276"/>
    <w:rsid w:val="004E20FF"/>
    <w:rsid w:val="004E4344"/>
    <w:rsid w:val="004E5FE8"/>
    <w:rsid w:val="004E72A0"/>
    <w:rsid w:val="004F6AAE"/>
    <w:rsid w:val="004F7037"/>
    <w:rsid w:val="0050211C"/>
    <w:rsid w:val="00503395"/>
    <w:rsid w:val="005052A1"/>
    <w:rsid w:val="0050621A"/>
    <w:rsid w:val="0050688B"/>
    <w:rsid w:val="00506AC0"/>
    <w:rsid w:val="00511D22"/>
    <w:rsid w:val="005134A0"/>
    <w:rsid w:val="00514EDA"/>
    <w:rsid w:val="00523D24"/>
    <w:rsid w:val="00525BB0"/>
    <w:rsid w:val="005317DA"/>
    <w:rsid w:val="00533FF9"/>
    <w:rsid w:val="00537858"/>
    <w:rsid w:val="00537C1D"/>
    <w:rsid w:val="005420EA"/>
    <w:rsid w:val="005432D2"/>
    <w:rsid w:val="0054523E"/>
    <w:rsid w:val="00546ED0"/>
    <w:rsid w:val="005470F1"/>
    <w:rsid w:val="005474D3"/>
    <w:rsid w:val="00551FEA"/>
    <w:rsid w:val="005540F8"/>
    <w:rsid w:val="00557147"/>
    <w:rsid w:val="005604D9"/>
    <w:rsid w:val="00562F56"/>
    <w:rsid w:val="00563FC1"/>
    <w:rsid w:val="005641C0"/>
    <w:rsid w:val="00564EB8"/>
    <w:rsid w:val="00565E09"/>
    <w:rsid w:val="00566254"/>
    <w:rsid w:val="005662A7"/>
    <w:rsid w:val="0056777B"/>
    <w:rsid w:val="00570AC0"/>
    <w:rsid w:val="00571048"/>
    <w:rsid w:val="0057114A"/>
    <w:rsid w:val="00575727"/>
    <w:rsid w:val="00577C46"/>
    <w:rsid w:val="00582B60"/>
    <w:rsid w:val="0058582B"/>
    <w:rsid w:val="00590DD9"/>
    <w:rsid w:val="005A02DA"/>
    <w:rsid w:val="005A2233"/>
    <w:rsid w:val="005A2624"/>
    <w:rsid w:val="005A4760"/>
    <w:rsid w:val="005A552E"/>
    <w:rsid w:val="005A5C7A"/>
    <w:rsid w:val="005A640D"/>
    <w:rsid w:val="005B013E"/>
    <w:rsid w:val="005B112E"/>
    <w:rsid w:val="005B61C4"/>
    <w:rsid w:val="005B7768"/>
    <w:rsid w:val="005B7EE2"/>
    <w:rsid w:val="005C5F9C"/>
    <w:rsid w:val="005C7CAA"/>
    <w:rsid w:val="005D00FF"/>
    <w:rsid w:val="005D1B7D"/>
    <w:rsid w:val="005D4E66"/>
    <w:rsid w:val="005D6548"/>
    <w:rsid w:val="005E0725"/>
    <w:rsid w:val="005E0908"/>
    <w:rsid w:val="005E4F24"/>
    <w:rsid w:val="005E4F3D"/>
    <w:rsid w:val="005E62CB"/>
    <w:rsid w:val="005E6577"/>
    <w:rsid w:val="005E75D2"/>
    <w:rsid w:val="005F0D75"/>
    <w:rsid w:val="005F22E5"/>
    <w:rsid w:val="005F439E"/>
    <w:rsid w:val="005F5FA8"/>
    <w:rsid w:val="005F7497"/>
    <w:rsid w:val="006012E9"/>
    <w:rsid w:val="00603B7F"/>
    <w:rsid w:val="00605ED3"/>
    <w:rsid w:val="00606801"/>
    <w:rsid w:val="00607154"/>
    <w:rsid w:val="00610665"/>
    <w:rsid w:val="00612E7F"/>
    <w:rsid w:val="00613B37"/>
    <w:rsid w:val="00614041"/>
    <w:rsid w:val="006166E1"/>
    <w:rsid w:val="00617717"/>
    <w:rsid w:val="006177D7"/>
    <w:rsid w:val="006256A6"/>
    <w:rsid w:val="006258B0"/>
    <w:rsid w:val="006264D7"/>
    <w:rsid w:val="00632723"/>
    <w:rsid w:val="006327DE"/>
    <w:rsid w:val="00634103"/>
    <w:rsid w:val="006476E3"/>
    <w:rsid w:val="00652549"/>
    <w:rsid w:val="006559B4"/>
    <w:rsid w:val="0066216B"/>
    <w:rsid w:val="006630AB"/>
    <w:rsid w:val="00663B86"/>
    <w:rsid w:val="00666203"/>
    <w:rsid w:val="00666581"/>
    <w:rsid w:val="0066666D"/>
    <w:rsid w:val="0067338B"/>
    <w:rsid w:val="006810D2"/>
    <w:rsid w:val="00687F19"/>
    <w:rsid w:val="00693D60"/>
    <w:rsid w:val="00697CA1"/>
    <w:rsid w:val="006A071D"/>
    <w:rsid w:val="006A11B1"/>
    <w:rsid w:val="006A63C5"/>
    <w:rsid w:val="006A76B2"/>
    <w:rsid w:val="006B0B41"/>
    <w:rsid w:val="006B2A67"/>
    <w:rsid w:val="006C6AFA"/>
    <w:rsid w:val="006C773C"/>
    <w:rsid w:val="006C79EA"/>
    <w:rsid w:val="006D3B5F"/>
    <w:rsid w:val="006D6366"/>
    <w:rsid w:val="006E1CBD"/>
    <w:rsid w:val="006E2725"/>
    <w:rsid w:val="006E2947"/>
    <w:rsid w:val="006E344C"/>
    <w:rsid w:val="006E39E8"/>
    <w:rsid w:val="006E6D57"/>
    <w:rsid w:val="006F0BD7"/>
    <w:rsid w:val="006F142E"/>
    <w:rsid w:val="006F152E"/>
    <w:rsid w:val="006F170A"/>
    <w:rsid w:val="006F213F"/>
    <w:rsid w:val="006F7400"/>
    <w:rsid w:val="0070122F"/>
    <w:rsid w:val="007039E2"/>
    <w:rsid w:val="007117EC"/>
    <w:rsid w:val="00712A20"/>
    <w:rsid w:val="00713CD6"/>
    <w:rsid w:val="0071404E"/>
    <w:rsid w:val="00715C44"/>
    <w:rsid w:val="007169F5"/>
    <w:rsid w:val="00722A82"/>
    <w:rsid w:val="00725B4B"/>
    <w:rsid w:val="007269C5"/>
    <w:rsid w:val="0072743A"/>
    <w:rsid w:val="00731864"/>
    <w:rsid w:val="00733E4D"/>
    <w:rsid w:val="00734623"/>
    <w:rsid w:val="00735DA2"/>
    <w:rsid w:val="00737889"/>
    <w:rsid w:val="00737C7A"/>
    <w:rsid w:val="0074608B"/>
    <w:rsid w:val="00753453"/>
    <w:rsid w:val="00753F64"/>
    <w:rsid w:val="00765D18"/>
    <w:rsid w:val="00766DD2"/>
    <w:rsid w:val="00770A26"/>
    <w:rsid w:val="0078376B"/>
    <w:rsid w:val="007843F4"/>
    <w:rsid w:val="00784631"/>
    <w:rsid w:val="00784BE0"/>
    <w:rsid w:val="007869AA"/>
    <w:rsid w:val="00787871"/>
    <w:rsid w:val="0079275D"/>
    <w:rsid w:val="007940F3"/>
    <w:rsid w:val="0079417C"/>
    <w:rsid w:val="00796D5C"/>
    <w:rsid w:val="007973D8"/>
    <w:rsid w:val="007A0F13"/>
    <w:rsid w:val="007A236F"/>
    <w:rsid w:val="007A70A2"/>
    <w:rsid w:val="007B08A9"/>
    <w:rsid w:val="007B4079"/>
    <w:rsid w:val="007B5E4B"/>
    <w:rsid w:val="007B61B3"/>
    <w:rsid w:val="007C2AF5"/>
    <w:rsid w:val="007C4779"/>
    <w:rsid w:val="007C66CD"/>
    <w:rsid w:val="007E03A7"/>
    <w:rsid w:val="007E32F2"/>
    <w:rsid w:val="007E524E"/>
    <w:rsid w:val="007F0742"/>
    <w:rsid w:val="007F2C2D"/>
    <w:rsid w:val="00802EF0"/>
    <w:rsid w:val="00804C97"/>
    <w:rsid w:val="00810B37"/>
    <w:rsid w:val="00813B67"/>
    <w:rsid w:val="00813DDD"/>
    <w:rsid w:val="00814B22"/>
    <w:rsid w:val="008261E0"/>
    <w:rsid w:val="00830553"/>
    <w:rsid w:val="00832E87"/>
    <w:rsid w:val="00835C0C"/>
    <w:rsid w:val="00835E78"/>
    <w:rsid w:val="0084201A"/>
    <w:rsid w:val="00843D02"/>
    <w:rsid w:val="0085190F"/>
    <w:rsid w:val="00851E5F"/>
    <w:rsid w:val="00852BBE"/>
    <w:rsid w:val="0085733A"/>
    <w:rsid w:val="00862B9B"/>
    <w:rsid w:val="00863D1F"/>
    <w:rsid w:val="00866993"/>
    <w:rsid w:val="00867B57"/>
    <w:rsid w:val="0087143C"/>
    <w:rsid w:val="0087344F"/>
    <w:rsid w:val="00873A90"/>
    <w:rsid w:val="00873CEE"/>
    <w:rsid w:val="00876776"/>
    <w:rsid w:val="00877058"/>
    <w:rsid w:val="00877289"/>
    <w:rsid w:val="008906E4"/>
    <w:rsid w:val="00890FF2"/>
    <w:rsid w:val="008925AE"/>
    <w:rsid w:val="008A2696"/>
    <w:rsid w:val="008A38DA"/>
    <w:rsid w:val="008A4B37"/>
    <w:rsid w:val="008A507A"/>
    <w:rsid w:val="008A5629"/>
    <w:rsid w:val="008A7CEE"/>
    <w:rsid w:val="008B0090"/>
    <w:rsid w:val="008B0228"/>
    <w:rsid w:val="008B1256"/>
    <w:rsid w:val="008B2EF5"/>
    <w:rsid w:val="008B4305"/>
    <w:rsid w:val="008B498E"/>
    <w:rsid w:val="008B586E"/>
    <w:rsid w:val="008B6587"/>
    <w:rsid w:val="008C2415"/>
    <w:rsid w:val="008C3047"/>
    <w:rsid w:val="008C33CC"/>
    <w:rsid w:val="008C55BE"/>
    <w:rsid w:val="008C648B"/>
    <w:rsid w:val="008C7254"/>
    <w:rsid w:val="008D03E2"/>
    <w:rsid w:val="008D340D"/>
    <w:rsid w:val="008D451D"/>
    <w:rsid w:val="008D4CD7"/>
    <w:rsid w:val="008D51D4"/>
    <w:rsid w:val="008E191D"/>
    <w:rsid w:val="008E32F6"/>
    <w:rsid w:val="008E538A"/>
    <w:rsid w:val="008F1D7F"/>
    <w:rsid w:val="008F2B69"/>
    <w:rsid w:val="008F3A76"/>
    <w:rsid w:val="0090016B"/>
    <w:rsid w:val="00906354"/>
    <w:rsid w:val="00906CF2"/>
    <w:rsid w:val="00911AE8"/>
    <w:rsid w:val="00911B0A"/>
    <w:rsid w:val="00912B8F"/>
    <w:rsid w:val="0091364C"/>
    <w:rsid w:val="00914160"/>
    <w:rsid w:val="00915F28"/>
    <w:rsid w:val="00917C24"/>
    <w:rsid w:val="00920E14"/>
    <w:rsid w:val="0092325F"/>
    <w:rsid w:val="00930187"/>
    <w:rsid w:val="00930FB9"/>
    <w:rsid w:val="009314AC"/>
    <w:rsid w:val="0093216A"/>
    <w:rsid w:val="009334F5"/>
    <w:rsid w:val="00934E4F"/>
    <w:rsid w:val="0093566B"/>
    <w:rsid w:val="00945A59"/>
    <w:rsid w:val="0095039A"/>
    <w:rsid w:val="00952D17"/>
    <w:rsid w:val="009533F8"/>
    <w:rsid w:val="0095355D"/>
    <w:rsid w:val="00955479"/>
    <w:rsid w:val="009601AC"/>
    <w:rsid w:val="00961A17"/>
    <w:rsid w:val="009627BA"/>
    <w:rsid w:val="00970D43"/>
    <w:rsid w:val="0097170A"/>
    <w:rsid w:val="009717C5"/>
    <w:rsid w:val="0097212B"/>
    <w:rsid w:val="0097262B"/>
    <w:rsid w:val="0097287C"/>
    <w:rsid w:val="00972B8A"/>
    <w:rsid w:val="009803AD"/>
    <w:rsid w:val="00980E7D"/>
    <w:rsid w:val="009911DF"/>
    <w:rsid w:val="009922C5"/>
    <w:rsid w:val="009A3A66"/>
    <w:rsid w:val="009A64E4"/>
    <w:rsid w:val="009B0254"/>
    <w:rsid w:val="009B68C7"/>
    <w:rsid w:val="009C1301"/>
    <w:rsid w:val="009C3A6D"/>
    <w:rsid w:val="009C45CA"/>
    <w:rsid w:val="009C7C6D"/>
    <w:rsid w:val="009F034C"/>
    <w:rsid w:val="009F2991"/>
    <w:rsid w:val="009F2B74"/>
    <w:rsid w:val="009F3B77"/>
    <w:rsid w:val="009F6F7F"/>
    <w:rsid w:val="00A00C66"/>
    <w:rsid w:val="00A054BE"/>
    <w:rsid w:val="00A065BF"/>
    <w:rsid w:val="00A14A1D"/>
    <w:rsid w:val="00A16BD5"/>
    <w:rsid w:val="00A23475"/>
    <w:rsid w:val="00A23E33"/>
    <w:rsid w:val="00A23E58"/>
    <w:rsid w:val="00A252B9"/>
    <w:rsid w:val="00A26271"/>
    <w:rsid w:val="00A26660"/>
    <w:rsid w:val="00A32488"/>
    <w:rsid w:val="00A333A7"/>
    <w:rsid w:val="00A34EE6"/>
    <w:rsid w:val="00A36DBC"/>
    <w:rsid w:val="00A41B74"/>
    <w:rsid w:val="00A41C6A"/>
    <w:rsid w:val="00A41E97"/>
    <w:rsid w:val="00A432CA"/>
    <w:rsid w:val="00A469FA"/>
    <w:rsid w:val="00A47505"/>
    <w:rsid w:val="00A47F14"/>
    <w:rsid w:val="00A6559E"/>
    <w:rsid w:val="00A65F0E"/>
    <w:rsid w:val="00A666D3"/>
    <w:rsid w:val="00A704C2"/>
    <w:rsid w:val="00A71E56"/>
    <w:rsid w:val="00A76A86"/>
    <w:rsid w:val="00A80E26"/>
    <w:rsid w:val="00A81D8F"/>
    <w:rsid w:val="00A824A7"/>
    <w:rsid w:val="00A866D6"/>
    <w:rsid w:val="00A873E1"/>
    <w:rsid w:val="00A93923"/>
    <w:rsid w:val="00A96A71"/>
    <w:rsid w:val="00A971C0"/>
    <w:rsid w:val="00AA6BF9"/>
    <w:rsid w:val="00AA7454"/>
    <w:rsid w:val="00AB002A"/>
    <w:rsid w:val="00AB55E8"/>
    <w:rsid w:val="00AB5AE1"/>
    <w:rsid w:val="00AB7B8A"/>
    <w:rsid w:val="00AC0F64"/>
    <w:rsid w:val="00AC28A7"/>
    <w:rsid w:val="00AC4B66"/>
    <w:rsid w:val="00AD0AEE"/>
    <w:rsid w:val="00AD714B"/>
    <w:rsid w:val="00AE46AD"/>
    <w:rsid w:val="00AE4C6E"/>
    <w:rsid w:val="00AE5645"/>
    <w:rsid w:val="00AE5D25"/>
    <w:rsid w:val="00AE63A4"/>
    <w:rsid w:val="00AF206E"/>
    <w:rsid w:val="00AF4C3D"/>
    <w:rsid w:val="00AF5CA8"/>
    <w:rsid w:val="00AF6BC3"/>
    <w:rsid w:val="00AF769C"/>
    <w:rsid w:val="00B022EE"/>
    <w:rsid w:val="00B02582"/>
    <w:rsid w:val="00B0299F"/>
    <w:rsid w:val="00B06337"/>
    <w:rsid w:val="00B074A4"/>
    <w:rsid w:val="00B10BED"/>
    <w:rsid w:val="00B10D0B"/>
    <w:rsid w:val="00B14564"/>
    <w:rsid w:val="00B207E5"/>
    <w:rsid w:val="00B21DFE"/>
    <w:rsid w:val="00B238FF"/>
    <w:rsid w:val="00B2530B"/>
    <w:rsid w:val="00B258CD"/>
    <w:rsid w:val="00B27D32"/>
    <w:rsid w:val="00B27F95"/>
    <w:rsid w:val="00B3206E"/>
    <w:rsid w:val="00B34A71"/>
    <w:rsid w:val="00B35449"/>
    <w:rsid w:val="00B36CD7"/>
    <w:rsid w:val="00B371C6"/>
    <w:rsid w:val="00B37D5B"/>
    <w:rsid w:val="00B41E4B"/>
    <w:rsid w:val="00B41EDE"/>
    <w:rsid w:val="00B43CFA"/>
    <w:rsid w:val="00B470CA"/>
    <w:rsid w:val="00B53E93"/>
    <w:rsid w:val="00B55823"/>
    <w:rsid w:val="00B5590D"/>
    <w:rsid w:val="00B567A8"/>
    <w:rsid w:val="00B622E0"/>
    <w:rsid w:val="00B65C72"/>
    <w:rsid w:val="00B66C1B"/>
    <w:rsid w:val="00B6750A"/>
    <w:rsid w:val="00B80517"/>
    <w:rsid w:val="00B82885"/>
    <w:rsid w:val="00B8535B"/>
    <w:rsid w:val="00B85BFE"/>
    <w:rsid w:val="00B86577"/>
    <w:rsid w:val="00B873BB"/>
    <w:rsid w:val="00B940DC"/>
    <w:rsid w:val="00BA0368"/>
    <w:rsid w:val="00BA1D2F"/>
    <w:rsid w:val="00BA2804"/>
    <w:rsid w:val="00BA2BBD"/>
    <w:rsid w:val="00BA3978"/>
    <w:rsid w:val="00BA43E7"/>
    <w:rsid w:val="00BA521B"/>
    <w:rsid w:val="00BB1860"/>
    <w:rsid w:val="00BB2894"/>
    <w:rsid w:val="00BB2945"/>
    <w:rsid w:val="00BB3DBE"/>
    <w:rsid w:val="00BB4036"/>
    <w:rsid w:val="00BB6E17"/>
    <w:rsid w:val="00BB7C79"/>
    <w:rsid w:val="00BC1C89"/>
    <w:rsid w:val="00BC28BA"/>
    <w:rsid w:val="00BC2CAC"/>
    <w:rsid w:val="00BC3CD9"/>
    <w:rsid w:val="00BC4184"/>
    <w:rsid w:val="00BC5E78"/>
    <w:rsid w:val="00BD1E20"/>
    <w:rsid w:val="00BD60F3"/>
    <w:rsid w:val="00BD68D7"/>
    <w:rsid w:val="00BD7A69"/>
    <w:rsid w:val="00BE09F3"/>
    <w:rsid w:val="00BE609E"/>
    <w:rsid w:val="00BE682B"/>
    <w:rsid w:val="00BE6C03"/>
    <w:rsid w:val="00BE72DC"/>
    <w:rsid w:val="00C02BCC"/>
    <w:rsid w:val="00C03578"/>
    <w:rsid w:val="00C06C09"/>
    <w:rsid w:val="00C11175"/>
    <w:rsid w:val="00C1376D"/>
    <w:rsid w:val="00C2022F"/>
    <w:rsid w:val="00C24064"/>
    <w:rsid w:val="00C265F3"/>
    <w:rsid w:val="00C323B4"/>
    <w:rsid w:val="00C35BBA"/>
    <w:rsid w:val="00C36BEC"/>
    <w:rsid w:val="00C36FA5"/>
    <w:rsid w:val="00C37682"/>
    <w:rsid w:val="00C422ED"/>
    <w:rsid w:val="00C42B59"/>
    <w:rsid w:val="00C50B88"/>
    <w:rsid w:val="00C53925"/>
    <w:rsid w:val="00C544CC"/>
    <w:rsid w:val="00C54793"/>
    <w:rsid w:val="00C55735"/>
    <w:rsid w:val="00C56332"/>
    <w:rsid w:val="00C618CC"/>
    <w:rsid w:val="00C6221C"/>
    <w:rsid w:val="00C6585D"/>
    <w:rsid w:val="00C65D16"/>
    <w:rsid w:val="00C66D80"/>
    <w:rsid w:val="00C765E2"/>
    <w:rsid w:val="00C77BC9"/>
    <w:rsid w:val="00C81604"/>
    <w:rsid w:val="00C8549F"/>
    <w:rsid w:val="00C8579D"/>
    <w:rsid w:val="00C8775E"/>
    <w:rsid w:val="00C93386"/>
    <w:rsid w:val="00C934AB"/>
    <w:rsid w:val="00CA4951"/>
    <w:rsid w:val="00CA6BE6"/>
    <w:rsid w:val="00CA780B"/>
    <w:rsid w:val="00CB1699"/>
    <w:rsid w:val="00CB23C2"/>
    <w:rsid w:val="00CB4503"/>
    <w:rsid w:val="00CB590F"/>
    <w:rsid w:val="00CB5C5E"/>
    <w:rsid w:val="00CC0D3E"/>
    <w:rsid w:val="00CC317B"/>
    <w:rsid w:val="00CC53B5"/>
    <w:rsid w:val="00CC66D4"/>
    <w:rsid w:val="00CD06EF"/>
    <w:rsid w:val="00CD3924"/>
    <w:rsid w:val="00CD4F68"/>
    <w:rsid w:val="00CE430B"/>
    <w:rsid w:val="00CF2926"/>
    <w:rsid w:val="00CF3BA8"/>
    <w:rsid w:val="00CF3FB3"/>
    <w:rsid w:val="00CF4AB9"/>
    <w:rsid w:val="00CF4F2D"/>
    <w:rsid w:val="00D02FEB"/>
    <w:rsid w:val="00D066CF"/>
    <w:rsid w:val="00D0700B"/>
    <w:rsid w:val="00D12EF8"/>
    <w:rsid w:val="00D140E5"/>
    <w:rsid w:val="00D164EB"/>
    <w:rsid w:val="00D16B1C"/>
    <w:rsid w:val="00D17E3C"/>
    <w:rsid w:val="00D210B2"/>
    <w:rsid w:val="00D303F5"/>
    <w:rsid w:val="00D30E56"/>
    <w:rsid w:val="00D316C6"/>
    <w:rsid w:val="00D33896"/>
    <w:rsid w:val="00D35561"/>
    <w:rsid w:val="00D35730"/>
    <w:rsid w:val="00D37383"/>
    <w:rsid w:val="00D379DE"/>
    <w:rsid w:val="00D4164D"/>
    <w:rsid w:val="00D41E84"/>
    <w:rsid w:val="00D42C82"/>
    <w:rsid w:val="00D46F93"/>
    <w:rsid w:val="00D47002"/>
    <w:rsid w:val="00D47A03"/>
    <w:rsid w:val="00D50463"/>
    <w:rsid w:val="00D52C1D"/>
    <w:rsid w:val="00D567E5"/>
    <w:rsid w:val="00D657E3"/>
    <w:rsid w:val="00D6747D"/>
    <w:rsid w:val="00D76052"/>
    <w:rsid w:val="00D800F3"/>
    <w:rsid w:val="00D820EB"/>
    <w:rsid w:val="00D83D8B"/>
    <w:rsid w:val="00D846BD"/>
    <w:rsid w:val="00D8529C"/>
    <w:rsid w:val="00D86BDA"/>
    <w:rsid w:val="00D9068A"/>
    <w:rsid w:val="00D924F2"/>
    <w:rsid w:val="00D96E58"/>
    <w:rsid w:val="00DA11BD"/>
    <w:rsid w:val="00DA1678"/>
    <w:rsid w:val="00DA21EC"/>
    <w:rsid w:val="00DB0A5F"/>
    <w:rsid w:val="00DB40BA"/>
    <w:rsid w:val="00DB6E05"/>
    <w:rsid w:val="00DB75E3"/>
    <w:rsid w:val="00DC0D79"/>
    <w:rsid w:val="00DC1D81"/>
    <w:rsid w:val="00DC638C"/>
    <w:rsid w:val="00DC6810"/>
    <w:rsid w:val="00DD057A"/>
    <w:rsid w:val="00DD1512"/>
    <w:rsid w:val="00DD1905"/>
    <w:rsid w:val="00DD4D4C"/>
    <w:rsid w:val="00DD5ACC"/>
    <w:rsid w:val="00DD6CD8"/>
    <w:rsid w:val="00DD7AC4"/>
    <w:rsid w:val="00DE3D59"/>
    <w:rsid w:val="00DE6973"/>
    <w:rsid w:val="00DE729B"/>
    <w:rsid w:val="00E0094C"/>
    <w:rsid w:val="00E03736"/>
    <w:rsid w:val="00E04FEB"/>
    <w:rsid w:val="00E072E9"/>
    <w:rsid w:val="00E07846"/>
    <w:rsid w:val="00E1046A"/>
    <w:rsid w:val="00E12FF9"/>
    <w:rsid w:val="00E13B69"/>
    <w:rsid w:val="00E2247B"/>
    <w:rsid w:val="00E24474"/>
    <w:rsid w:val="00E24E64"/>
    <w:rsid w:val="00E260B9"/>
    <w:rsid w:val="00E26362"/>
    <w:rsid w:val="00E32C33"/>
    <w:rsid w:val="00E33E07"/>
    <w:rsid w:val="00E34206"/>
    <w:rsid w:val="00E360CD"/>
    <w:rsid w:val="00E4083F"/>
    <w:rsid w:val="00E414FA"/>
    <w:rsid w:val="00E4415E"/>
    <w:rsid w:val="00E44497"/>
    <w:rsid w:val="00E449FE"/>
    <w:rsid w:val="00E45FBC"/>
    <w:rsid w:val="00E46BA8"/>
    <w:rsid w:val="00E50F1E"/>
    <w:rsid w:val="00E50F3C"/>
    <w:rsid w:val="00E528C8"/>
    <w:rsid w:val="00E535C2"/>
    <w:rsid w:val="00E54E0E"/>
    <w:rsid w:val="00E63380"/>
    <w:rsid w:val="00E635B4"/>
    <w:rsid w:val="00E639AA"/>
    <w:rsid w:val="00E65698"/>
    <w:rsid w:val="00E72CC7"/>
    <w:rsid w:val="00E73979"/>
    <w:rsid w:val="00E748F1"/>
    <w:rsid w:val="00E8341F"/>
    <w:rsid w:val="00E847A5"/>
    <w:rsid w:val="00E86F7F"/>
    <w:rsid w:val="00E90D27"/>
    <w:rsid w:val="00E929DC"/>
    <w:rsid w:val="00E933CD"/>
    <w:rsid w:val="00E945E5"/>
    <w:rsid w:val="00E96527"/>
    <w:rsid w:val="00E96A18"/>
    <w:rsid w:val="00EA0C67"/>
    <w:rsid w:val="00EA4D0C"/>
    <w:rsid w:val="00EB0155"/>
    <w:rsid w:val="00EB0ADD"/>
    <w:rsid w:val="00EB12D4"/>
    <w:rsid w:val="00EB5DDB"/>
    <w:rsid w:val="00EB73DF"/>
    <w:rsid w:val="00EC0CE0"/>
    <w:rsid w:val="00EC5459"/>
    <w:rsid w:val="00ED4D1C"/>
    <w:rsid w:val="00ED5F0F"/>
    <w:rsid w:val="00EE1B0E"/>
    <w:rsid w:val="00EE2B96"/>
    <w:rsid w:val="00EE2D10"/>
    <w:rsid w:val="00EE386C"/>
    <w:rsid w:val="00EE4C0B"/>
    <w:rsid w:val="00EE6269"/>
    <w:rsid w:val="00EE7363"/>
    <w:rsid w:val="00EE76B3"/>
    <w:rsid w:val="00EF174B"/>
    <w:rsid w:val="00EF3B7F"/>
    <w:rsid w:val="00F02617"/>
    <w:rsid w:val="00F0311D"/>
    <w:rsid w:val="00F0354F"/>
    <w:rsid w:val="00F06B74"/>
    <w:rsid w:val="00F10DFF"/>
    <w:rsid w:val="00F10EB5"/>
    <w:rsid w:val="00F11276"/>
    <w:rsid w:val="00F116DD"/>
    <w:rsid w:val="00F11D34"/>
    <w:rsid w:val="00F125D4"/>
    <w:rsid w:val="00F177BC"/>
    <w:rsid w:val="00F22505"/>
    <w:rsid w:val="00F233A0"/>
    <w:rsid w:val="00F26688"/>
    <w:rsid w:val="00F26A60"/>
    <w:rsid w:val="00F272BA"/>
    <w:rsid w:val="00F30D93"/>
    <w:rsid w:val="00F31968"/>
    <w:rsid w:val="00F3344D"/>
    <w:rsid w:val="00F3419D"/>
    <w:rsid w:val="00F350D8"/>
    <w:rsid w:val="00F37B5D"/>
    <w:rsid w:val="00F44559"/>
    <w:rsid w:val="00F4484A"/>
    <w:rsid w:val="00F460A3"/>
    <w:rsid w:val="00F50E4F"/>
    <w:rsid w:val="00F52467"/>
    <w:rsid w:val="00F56C8E"/>
    <w:rsid w:val="00F6014E"/>
    <w:rsid w:val="00F60600"/>
    <w:rsid w:val="00F6165D"/>
    <w:rsid w:val="00F64256"/>
    <w:rsid w:val="00F65995"/>
    <w:rsid w:val="00F73A2C"/>
    <w:rsid w:val="00F75C3A"/>
    <w:rsid w:val="00F774A9"/>
    <w:rsid w:val="00F77DC4"/>
    <w:rsid w:val="00F80AEC"/>
    <w:rsid w:val="00F82827"/>
    <w:rsid w:val="00F919B5"/>
    <w:rsid w:val="00F9382F"/>
    <w:rsid w:val="00F94C3D"/>
    <w:rsid w:val="00F94F4C"/>
    <w:rsid w:val="00F95BD0"/>
    <w:rsid w:val="00FA1C1C"/>
    <w:rsid w:val="00FA2598"/>
    <w:rsid w:val="00FA25FC"/>
    <w:rsid w:val="00FA4D5F"/>
    <w:rsid w:val="00FA5997"/>
    <w:rsid w:val="00FA6052"/>
    <w:rsid w:val="00FA6DAC"/>
    <w:rsid w:val="00FB2EA1"/>
    <w:rsid w:val="00FB4DA2"/>
    <w:rsid w:val="00FB74E0"/>
    <w:rsid w:val="00FC24CC"/>
    <w:rsid w:val="00FC2D68"/>
    <w:rsid w:val="00FC2D75"/>
    <w:rsid w:val="00FC3328"/>
    <w:rsid w:val="00FC357F"/>
    <w:rsid w:val="00FC4088"/>
    <w:rsid w:val="00FC6264"/>
    <w:rsid w:val="00FC78A6"/>
    <w:rsid w:val="00FD33BD"/>
    <w:rsid w:val="00FD35BC"/>
    <w:rsid w:val="00FD36E3"/>
    <w:rsid w:val="00FD3B23"/>
    <w:rsid w:val="00FD5E59"/>
    <w:rsid w:val="00FE012E"/>
    <w:rsid w:val="00FE2A43"/>
    <w:rsid w:val="00FF1E0E"/>
    <w:rsid w:val="00FF50E9"/>
    <w:rsid w:val="00FF643E"/>
    <w:rsid w:val="00FF769F"/>
    <w:rsid w:val="6A80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6C54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431D2B"/>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rsid w:val="0078376B"/>
    <w:pPr>
      <w:numPr>
        <w:numId w:val="11"/>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it-IT" w:eastAsia="en-US"/>
    </w:rPr>
  </w:style>
  <w:style w:type="character" w:customStyle="1" w:styleId="Body3Char">
    <w:name w:val="Body 3 Char"/>
    <w:basedOn w:val="DefaultParagraphFont"/>
    <w:uiPriority w:val="99"/>
    <w:rsid w:val="00AD0AEE"/>
    <w:rPr>
      <w:rFonts w:ascii="Tahoma" w:hAnsi="Tahoma" w:cs="Tahoma"/>
      <w:lang w:val="it-IT"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ms-rtefontface-12">
    <w:name w:val="ms-rtefontface-12"/>
    <w:basedOn w:val="DefaultParagraphFont"/>
    <w:rsid w:val="0050621A"/>
    <w:rPr>
      <w:rFonts w:cs="Times New Roman"/>
    </w:rPr>
  </w:style>
  <w:style w:type="character" w:styleId="Strong">
    <w:name w:val="Strong"/>
    <w:basedOn w:val="DefaultParagraphFont"/>
    <w:uiPriority w:val="22"/>
    <w:qFormat/>
    <w:rsid w:val="0050621A"/>
    <w:rPr>
      <w:rFonts w:cs="Times New Roman"/>
      <w:b/>
      <w:bCs/>
    </w:rPr>
  </w:style>
  <w:style w:type="character" w:styleId="Emphasis">
    <w:name w:val="Emphasis"/>
    <w:basedOn w:val="DefaultParagraphFont"/>
    <w:uiPriority w:val="20"/>
    <w:qFormat/>
    <w:rsid w:val="00AF4C3D"/>
    <w:rPr>
      <w:rFonts w:cs="Times New Roman"/>
      <w:i/>
      <w:iCs/>
    </w:rPr>
  </w:style>
  <w:style w:type="paragraph" w:customStyle="1" w:styleId="Body3">
    <w:name w:val="Body 3"/>
    <w:basedOn w:val="Normal"/>
    <w:rsid w:val="00CA6BE6"/>
    <w:pPr>
      <w:ind w:left="1077"/>
    </w:pPr>
  </w:style>
  <w:style w:type="character" w:customStyle="1" w:styleId="Mention1">
    <w:name w:val="Mention1"/>
    <w:basedOn w:val="DefaultParagraphFont"/>
    <w:uiPriority w:val="99"/>
    <w:semiHidden/>
    <w:unhideWhenUsed/>
    <w:rsid w:val="00715C44"/>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7867">
      <w:marLeft w:val="0"/>
      <w:marRight w:val="0"/>
      <w:marTop w:val="0"/>
      <w:marBottom w:val="0"/>
      <w:divBdr>
        <w:top w:val="none" w:sz="0" w:space="0" w:color="auto"/>
        <w:left w:val="none" w:sz="0" w:space="0" w:color="auto"/>
        <w:bottom w:val="none" w:sz="0" w:space="0" w:color="auto"/>
        <w:right w:val="none" w:sz="0" w:space="0" w:color="auto"/>
      </w:divBdr>
    </w:div>
    <w:div w:id="46227868">
      <w:marLeft w:val="0"/>
      <w:marRight w:val="0"/>
      <w:marTop w:val="0"/>
      <w:marBottom w:val="0"/>
      <w:divBdr>
        <w:top w:val="none" w:sz="0" w:space="0" w:color="auto"/>
        <w:left w:val="none" w:sz="0" w:space="0" w:color="auto"/>
        <w:bottom w:val="none" w:sz="0" w:space="0" w:color="auto"/>
        <w:right w:val="none" w:sz="0" w:space="0" w:color="auto"/>
      </w:divBdr>
    </w:div>
    <w:div w:id="46227869">
      <w:marLeft w:val="0"/>
      <w:marRight w:val="0"/>
      <w:marTop w:val="0"/>
      <w:marBottom w:val="0"/>
      <w:divBdr>
        <w:top w:val="none" w:sz="0" w:space="0" w:color="auto"/>
        <w:left w:val="none" w:sz="0" w:space="0" w:color="auto"/>
        <w:bottom w:val="none" w:sz="0" w:space="0" w:color="auto"/>
        <w:right w:val="none" w:sz="0" w:space="0" w:color="auto"/>
      </w:divBdr>
    </w:div>
    <w:div w:id="46227870">
      <w:marLeft w:val="0"/>
      <w:marRight w:val="0"/>
      <w:marTop w:val="0"/>
      <w:marBottom w:val="0"/>
      <w:divBdr>
        <w:top w:val="none" w:sz="0" w:space="0" w:color="auto"/>
        <w:left w:val="none" w:sz="0" w:space="0" w:color="auto"/>
        <w:bottom w:val="none" w:sz="0" w:space="0" w:color="auto"/>
        <w:right w:val="none" w:sz="0" w:space="0" w:color="auto"/>
      </w:divBdr>
    </w:div>
    <w:div w:id="46227871">
      <w:marLeft w:val="0"/>
      <w:marRight w:val="0"/>
      <w:marTop w:val="0"/>
      <w:marBottom w:val="0"/>
      <w:divBdr>
        <w:top w:val="none" w:sz="0" w:space="0" w:color="auto"/>
        <w:left w:val="none" w:sz="0" w:space="0" w:color="auto"/>
        <w:bottom w:val="none" w:sz="0" w:space="0" w:color="auto"/>
        <w:right w:val="none" w:sz="0" w:space="0" w:color="auto"/>
      </w:divBdr>
    </w:div>
    <w:div w:id="46227872">
      <w:marLeft w:val="0"/>
      <w:marRight w:val="0"/>
      <w:marTop w:val="0"/>
      <w:marBottom w:val="0"/>
      <w:divBdr>
        <w:top w:val="none" w:sz="0" w:space="0" w:color="auto"/>
        <w:left w:val="none" w:sz="0" w:space="0" w:color="auto"/>
        <w:bottom w:val="none" w:sz="0" w:space="0" w:color="auto"/>
        <w:right w:val="none" w:sz="0" w:space="0" w:color="auto"/>
      </w:divBdr>
    </w:div>
    <w:div w:id="46227875">
      <w:marLeft w:val="0"/>
      <w:marRight w:val="0"/>
      <w:marTop w:val="0"/>
      <w:marBottom w:val="0"/>
      <w:divBdr>
        <w:top w:val="none" w:sz="0" w:space="0" w:color="auto"/>
        <w:left w:val="none" w:sz="0" w:space="0" w:color="auto"/>
        <w:bottom w:val="none" w:sz="0" w:space="0" w:color="auto"/>
        <w:right w:val="none" w:sz="0" w:space="0" w:color="auto"/>
      </w:divBdr>
    </w:div>
    <w:div w:id="46227877">
      <w:marLeft w:val="0"/>
      <w:marRight w:val="0"/>
      <w:marTop w:val="0"/>
      <w:marBottom w:val="0"/>
      <w:divBdr>
        <w:top w:val="none" w:sz="0" w:space="0" w:color="auto"/>
        <w:left w:val="none" w:sz="0" w:space="0" w:color="auto"/>
        <w:bottom w:val="none" w:sz="0" w:space="0" w:color="auto"/>
        <w:right w:val="none" w:sz="0" w:space="0" w:color="auto"/>
      </w:divBdr>
      <w:divsChild>
        <w:div w:id="46227873">
          <w:marLeft w:val="0"/>
          <w:marRight w:val="0"/>
          <w:marTop w:val="0"/>
          <w:marBottom w:val="0"/>
          <w:divBdr>
            <w:top w:val="none" w:sz="0" w:space="0" w:color="auto"/>
            <w:left w:val="none" w:sz="0" w:space="0" w:color="auto"/>
            <w:bottom w:val="none" w:sz="0" w:space="0" w:color="auto"/>
            <w:right w:val="none" w:sz="0" w:space="0" w:color="auto"/>
          </w:divBdr>
          <w:divsChild>
            <w:div w:id="46227874">
              <w:marLeft w:val="0"/>
              <w:marRight w:val="0"/>
              <w:marTop w:val="0"/>
              <w:marBottom w:val="0"/>
              <w:divBdr>
                <w:top w:val="none" w:sz="0" w:space="0" w:color="auto"/>
                <w:left w:val="none" w:sz="0" w:space="0" w:color="auto"/>
                <w:bottom w:val="none" w:sz="0" w:space="0" w:color="auto"/>
                <w:right w:val="none" w:sz="0" w:space="0" w:color="auto"/>
              </w:divBdr>
              <w:divsChild>
                <w:div w:id="462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878">
      <w:marLeft w:val="0"/>
      <w:marRight w:val="0"/>
      <w:marTop w:val="0"/>
      <w:marBottom w:val="0"/>
      <w:divBdr>
        <w:top w:val="none" w:sz="0" w:space="0" w:color="auto"/>
        <w:left w:val="none" w:sz="0" w:space="0" w:color="auto"/>
        <w:bottom w:val="none" w:sz="0" w:space="0" w:color="auto"/>
        <w:right w:val="none" w:sz="0" w:space="0" w:color="auto"/>
      </w:divBdr>
    </w:div>
    <w:div w:id="46227879">
      <w:marLeft w:val="0"/>
      <w:marRight w:val="0"/>
      <w:marTop w:val="0"/>
      <w:marBottom w:val="0"/>
      <w:divBdr>
        <w:top w:val="none" w:sz="0" w:space="0" w:color="auto"/>
        <w:left w:val="none" w:sz="0" w:space="0" w:color="auto"/>
        <w:bottom w:val="none" w:sz="0" w:space="0" w:color="auto"/>
        <w:right w:val="none" w:sz="0" w:space="0" w:color="auto"/>
      </w:divBdr>
    </w:div>
    <w:div w:id="46227880">
      <w:marLeft w:val="0"/>
      <w:marRight w:val="0"/>
      <w:marTop w:val="0"/>
      <w:marBottom w:val="0"/>
      <w:divBdr>
        <w:top w:val="none" w:sz="0" w:space="0" w:color="auto"/>
        <w:left w:val="none" w:sz="0" w:space="0" w:color="auto"/>
        <w:bottom w:val="none" w:sz="0" w:space="0" w:color="auto"/>
        <w:right w:val="none" w:sz="0" w:space="0" w:color="auto"/>
      </w:divBdr>
    </w:div>
    <w:div w:id="46227881">
      <w:marLeft w:val="0"/>
      <w:marRight w:val="0"/>
      <w:marTop w:val="0"/>
      <w:marBottom w:val="0"/>
      <w:divBdr>
        <w:top w:val="none" w:sz="0" w:space="0" w:color="auto"/>
        <w:left w:val="none" w:sz="0" w:space="0" w:color="auto"/>
        <w:bottom w:val="none" w:sz="0" w:space="0" w:color="auto"/>
        <w:right w:val="none" w:sz="0" w:space="0" w:color="auto"/>
      </w:divBdr>
    </w:div>
    <w:div w:id="46227882">
      <w:marLeft w:val="0"/>
      <w:marRight w:val="0"/>
      <w:marTop w:val="0"/>
      <w:marBottom w:val="0"/>
      <w:divBdr>
        <w:top w:val="none" w:sz="0" w:space="0" w:color="auto"/>
        <w:left w:val="none" w:sz="0" w:space="0" w:color="auto"/>
        <w:bottom w:val="none" w:sz="0" w:space="0" w:color="auto"/>
        <w:right w:val="none" w:sz="0" w:space="0" w:color="auto"/>
      </w:divBdr>
    </w:div>
    <w:div w:id="46227883">
      <w:marLeft w:val="0"/>
      <w:marRight w:val="0"/>
      <w:marTop w:val="0"/>
      <w:marBottom w:val="0"/>
      <w:divBdr>
        <w:top w:val="none" w:sz="0" w:space="0" w:color="auto"/>
        <w:left w:val="none" w:sz="0" w:space="0" w:color="auto"/>
        <w:bottom w:val="none" w:sz="0" w:space="0" w:color="auto"/>
        <w:right w:val="none" w:sz="0" w:space="0" w:color="auto"/>
      </w:divBdr>
    </w:div>
    <w:div w:id="46227884">
      <w:marLeft w:val="0"/>
      <w:marRight w:val="0"/>
      <w:marTop w:val="0"/>
      <w:marBottom w:val="0"/>
      <w:divBdr>
        <w:top w:val="none" w:sz="0" w:space="0" w:color="auto"/>
        <w:left w:val="none" w:sz="0" w:space="0" w:color="auto"/>
        <w:bottom w:val="none" w:sz="0" w:space="0" w:color="auto"/>
        <w:right w:val="none" w:sz="0" w:space="0" w:color="auto"/>
      </w:divBdr>
    </w:div>
    <w:div w:id="46227885">
      <w:marLeft w:val="0"/>
      <w:marRight w:val="0"/>
      <w:marTop w:val="0"/>
      <w:marBottom w:val="0"/>
      <w:divBdr>
        <w:top w:val="none" w:sz="0" w:space="0" w:color="auto"/>
        <w:left w:val="none" w:sz="0" w:space="0" w:color="auto"/>
        <w:bottom w:val="none" w:sz="0" w:space="0" w:color="auto"/>
        <w:right w:val="none" w:sz="0" w:space="0" w:color="auto"/>
      </w:divBdr>
    </w:div>
    <w:div w:id="46227886">
      <w:marLeft w:val="0"/>
      <w:marRight w:val="0"/>
      <w:marTop w:val="0"/>
      <w:marBottom w:val="0"/>
      <w:divBdr>
        <w:top w:val="none" w:sz="0" w:space="0" w:color="auto"/>
        <w:left w:val="none" w:sz="0" w:space="0" w:color="auto"/>
        <w:bottom w:val="none" w:sz="0" w:space="0" w:color="auto"/>
        <w:right w:val="none" w:sz="0" w:space="0" w:color="auto"/>
      </w:divBdr>
    </w:div>
    <w:div w:id="46227887">
      <w:marLeft w:val="0"/>
      <w:marRight w:val="0"/>
      <w:marTop w:val="0"/>
      <w:marBottom w:val="0"/>
      <w:divBdr>
        <w:top w:val="none" w:sz="0" w:space="0" w:color="auto"/>
        <w:left w:val="none" w:sz="0" w:space="0" w:color="auto"/>
        <w:bottom w:val="none" w:sz="0" w:space="0" w:color="auto"/>
        <w:right w:val="none" w:sz="0" w:space="0" w:color="auto"/>
      </w:divBdr>
    </w:div>
    <w:div w:id="46227888">
      <w:marLeft w:val="0"/>
      <w:marRight w:val="0"/>
      <w:marTop w:val="0"/>
      <w:marBottom w:val="0"/>
      <w:divBdr>
        <w:top w:val="none" w:sz="0" w:space="0" w:color="auto"/>
        <w:left w:val="none" w:sz="0" w:space="0" w:color="auto"/>
        <w:bottom w:val="none" w:sz="0" w:space="0" w:color="auto"/>
        <w:right w:val="none" w:sz="0" w:space="0" w:color="auto"/>
      </w:divBdr>
    </w:div>
    <w:div w:id="46227889">
      <w:marLeft w:val="0"/>
      <w:marRight w:val="0"/>
      <w:marTop w:val="0"/>
      <w:marBottom w:val="0"/>
      <w:divBdr>
        <w:top w:val="none" w:sz="0" w:space="0" w:color="auto"/>
        <w:left w:val="none" w:sz="0" w:space="0" w:color="auto"/>
        <w:bottom w:val="none" w:sz="0" w:space="0" w:color="auto"/>
        <w:right w:val="none" w:sz="0" w:space="0" w:color="auto"/>
      </w:divBdr>
    </w:div>
    <w:div w:id="46227890">
      <w:marLeft w:val="0"/>
      <w:marRight w:val="0"/>
      <w:marTop w:val="0"/>
      <w:marBottom w:val="0"/>
      <w:divBdr>
        <w:top w:val="none" w:sz="0" w:space="0" w:color="auto"/>
        <w:left w:val="none" w:sz="0" w:space="0" w:color="auto"/>
        <w:bottom w:val="none" w:sz="0" w:space="0" w:color="auto"/>
        <w:right w:val="none" w:sz="0" w:space="0" w:color="auto"/>
      </w:divBdr>
    </w:div>
    <w:div w:id="46227891">
      <w:marLeft w:val="0"/>
      <w:marRight w:val="0"/>
      <w:marTop w:val="0"/>
      <w:marBottom w:val="0"/>
      <w:divBdr>
        <w:top w:val="none" w:sz="0" w:space="0" w:color="auto"/>
        <w:left w:val="none" w:sz="0" w:space="0" w:color="auto"/>
        <w:bottom w:val="none" w:sz="0" w:space="0" w:color="auto"/>
        <w:right w:val="none" w:sz="0" w:space="0" w:color="auto"/>
      </w:divBdr>
    </w:div>
    <w:div w:id="46227892">
      <w:marLeft w:val="0"/>
      <w:marRight w:val="0"/>
      <w:marTop w:val="0"/>
      <w:marBottom w:val="0"/>
      <w:divBdr>
        <w:top w:val="none" w:sz="0" w:space="0" w:color="auto"/>
        <w:left w:val="none" w:sz="0" w:space="0" w:color="auto"/>
        <w:bottom w:val="none" w:sz="0" w:space="0" w:color="auto"/>
        <w:right w:val="none" w:sz="0" w:space="0" w:color="auto"/>
      </w:divBdr>
    </w:div>
    <w:div w:id="46227893">
      <w:marLeft w:val="0"/>
      <w:marRight w:val="0"/>
      <w:marTop w:val="0"/>
      <w:marBottom w:val="0"/>
      <w:divBdr>
        <w:top w:val="none" w:sz="0" w:space="0" w:color="auto"/>
        <w:left w:val="none" w:sz="0" w:space="0" w:color="auto"/>
        <w:bottom w:val="none" w:sz="0" w:space="0" w:color="auto"/>
        <w:right w:val="none" w:sz="0" w:space="0" w:color="auto"/>
      </w:divBdr>
    </w:div>
    <w:div w:id="46227894">
      <w:marLeft w:val="0"/>
      <w:marRight w:val="0"/>
      <w:marTop w:val="0"/>
      <w:marBottom w:val="0"/>
      <w:divBdr>
        <w:top w:val="none" w:sz="0" w:space="0" w:color="auto"/>
        <w:left w:val="none" w:sz="0" w:space="0" w:color="auto"/>
        <w:bottom w:val="none" w:sz="0" w:space="0" w:color="auto"/>
        <w:right w:val="none" w:sz="0" w:space="0" w:color="auto"/>
      </w:divBdr>
    </w:div>
    <w:div w:id="46227895">
      <w:marLeft w:val="0"/>
      <w:marRight w:val="0"/>
      <w:marTop w:val="0"/>
      <w:marBottom w:val="0"/>
      <w:divBdr>
        <w:top w:val="none" w:sz="0" w:space="0" w:color="auto"/>
        <w:left w:val="none" w:sz="0" w:space="0" w:color="auto"/>
        <w:bottom w:val="none" w:sz="0" w:space="0" w:color="auto"/>
        <w:right w:val="none" w:sz="0" w:space="0" w:color="auto"/>
      </w:divBdr>
    </w:div>
    <w:div w:id="46227896">
      <w:marLeft w:val="0"/>
      <w:marRight w:val="0"/>
      <w:marTop w:val="0"/>
      <w:marBottom w:val="0"/>
      <w:divBdr>
        <w:top w:val="none" w:sz="0" w:space="0" w:color="auto"/>
        <w:left w:val="none" w:sz="0" w:space="0" w:color="auto"/>
        <w:bottom w:val="none" w:sz="0" w:space="0" w:color="auto"/>
        <w:right w:val="none" w:sz="0" w:space="0" w:color="auto"/>
      </w:divBdr>
    </w:div>
    <w:div w:id="46227897">
      <w:marLeft w:val="0"/>
      <w:marRight w:val="0"/>
      <w:marTop w:val="0"/>
      <w:marBottom w:val="0"/>
      <w:divBdr>
        <w:top w:val="none" w:sz="0" w:space="0" w:color="auto"/>
        <w:left w:val="none" w:sz="0" w:space="0" w:color="auto"/>
        <w:bottom w:val="none" w:sz="0" w:space="0" w:color="auto"/>
        <w:right w:val="none" w:sz="0" w:space="0" w:color="auto"/>
      </w:divBdr>
    </w:div>
    <w:div w:id="46227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hyperlink" Target="http://www.howtot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microsoft.com/?linkid=98407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icrosoft.com/fwlink/?LinkID=824704" TargetMode="External"/><Relationship Id="rId5" Type="http://schemas.openxmlformats.org/officeDocument/2006/relationships/webSettings" Target="webSettings.xml"/><Relationship Id="rId15" Type="http://schemas.openxmlformats.org/officeDocument/2006/relationships/hyperlink" Target="https://support.microsoft.com" TargetMode="External"/><Relationship Id="rId10" Type="http://schemas.openxmlformats.org/officeDocument/2006/relationships/hyperlink" Target="https://go.microsoft.com/fwlink/?linkid=823097" TargetMode="External"/><Relationship Id="rId4" Type="http://schemas.openxmlformats.org/officeDocument/2006/relationships/settings" Target="settings.xml"/><Relationship Id="rId9" Type="http://schemas.openxmlformats.org/officeDocument/2006/relationships/hyperlink" Target="https://support.microsoft.com" TargetMode="External"/><Relationship Id="rId14"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5FB9-467F-4679-B627-1FAA424E73C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40951</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8</Pages>
  <Words>4671</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2017-10-16T14:32:50.5340807-07:00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