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47" w:rsidRDefault="008E7E47">
      <w:pPr>
        <w:pStyle w:val="HeadingEULA"/>
        <w:widowControl w:val="0"/>
        <w:rPr>
          <w:rFonts w:eastAsia="SimSun"/>
          <w:sz w:val="20"/>
          <w:szCs w:val="20"/>
        </w:rPr>
      </w:pPr>
    </w:p>
    <w:p w:rsidR="008113AA" w:rsidRPr="00E45DB9" w:rsidRDefault="009A7A15">
      <w:pPr>
        <w:pStyle w:val="HeadingEULA"/>
        <w:widowControl w:val="0"/>
        <w:rPr>
          <w:rFonts w:eastAsia="SimSun"/>
          <w:sz w:val="19"/>
          <w:szCs w:val="19"/>
        </w:rPr>
      </w:pPr>
      <w:r>
        <w:rPr>
          <w:sz w:val="19"/>
          <w:szCs w:val="19"/>
        </w:rPr>
        <w:t>TERMES DU CONTRAT DE LICENCE LOGICIEL MICROSOFT</w:t>
      </w:r>
    </w:p>
    <w:p w:rsidR="008E7E47" w:rsidRPr="00E45DB9" w:rsidRDefault="009A7A15" w:rsidP="008E7E47">
      <w:pPr>
        <w:pStyle w:val="HeadingSoftwareTitle"/>
        <w:widowControl w:val="0"/>
        <w:rPr>
          <w:rFonts w:eastAsia="SimSun"/>
          <w:sz w:val="19"/>
          <w:szCs w:val="19"/>
        </w:rPr>
      </w:pPr>
      <w:r>
        <w:rPr>
          <w:sz w:val="19"/>
          <w:szCs w:val="19"/>
        </w:rPr>
        <w:t>MICROSOFT VISUAL STUDIO 2017 EXPRESS POUR LE BUREAU WINDOWS</w:t>
      </w:r>
    </w:p>
    <w:p w:rsidR="008113AA" w:rsidRPr="00E45DB9" w:rsidRDefault="009A7A15" w:rsidP="008B3CC8">
      <w:pPr>
        <w:pStyle w:val="Preamble"/>
        <w:widowControl w:val="0"/>
        <w:rPr>
          <w:rFonts w:eastAsia="SimSun"/>
        </w:rPr>
      </w:pPr>
      <w:r>
        <w:rPr>
          <w:b w:val="0"/>
          <w:bCs w:val="0"/>
        </w:rPr>
        <w:t xml:space="preserve">Les présents termes du contrat de licence constituent un contrat entre Microsoft Corporation (ou, en fonction de votre lieu de résidence, l’un de ses affiliés) et vous. Ils s’appliquent au logiciel visé ci-dessus.  Les termes s’appliquent également à tout service et à toute mise à jour Microsoft pour ce logiciel, à moins que d’autres termes n’accompagnent ces éléments. </w:t>
      </w:r>
    </w:p>
    <w:p w:rsidR="008113AA" w:rsidRPr="00E45DB9" w:rsidRDefault="009A7A15">
      <w:pPr>
        <w:pStyle w:val="PreambleBorderAbove"/>
        <w:widowControl w:val="0"/>
        <w:rPr>
          <w:rFonts w:eastAsia="SimSun"/>
        </w:rPr>
      </w:pPr>
      <w:r>
        <w:t>SI VOUS VOUS CONFORMEZ AUX PRÉSENTS TERMES DU CONTRAT DE LICENCE, VOUS AVEZ LES DROITS CI-DESSOUS.</w:t>
      </w:r>
    </w:p>
    <w:p w:rsidR="008113AA" w:rsidRPr="00E45DB9" w:rsidRDefault="009A7A15" w:rsidP="00146601">
      <w:pPr>
        <w:pStyle w:val="Heading1"/>
        <w:tabs>
          <w:tab w:val="clear" w:pos="810"/>
          <w:tab w:val="num" w:pos="450"/>
        </w:tabs>
        <w:ind w:left="447"/>
      </w:pPr>
      <w:r>
        <w:t xml:space="preserve">DROITS D’INSTALLATION ET D’UTILISATION. </w:t>
      </w:r>
    </w:p>
    <w:p w:rsidR="003A191E" w:rsidRPr="00DC582F" w:rsidRDefault="009A7A15" w:rsidP="00C06DFF">
      <w:pPr>
        <w:pStyle w:val="Heading2"/>
        <w:widowControl w:val="0"/>
        <w:tabs>
          <w:tab w:val="left" w:pos="5760"/>
        </w:tabs>
        <w:rPr>
          <w:rFonts w:eastAsia="SimSun"/>
          <w:sz w:val="20"/>
          <w:szCs w:val="20"/>
        </w:rPr>
      </w:pPr>
      <w:r>
        <w:rPr>
          <w:sz w:val="20"/>
          <w:szCs w:val="20"/>
        </w:rPr>
        <w:t>Installation et utilisation.</w:t>
      </w:r>
      <w:r>
        <w:rPr>
          <w:rStyle w:val="Body2Char"/>
          <w:b w:val="0"/>
          <w:bCs w:val="0"/>
          <w:sz w:val="20"/>
          <w:szCs w:val="20"/>
        </w:rPr>
        <w:t xml:space="preserve"> Le présent contrat autorise un utilisateur à utiliser des copies du logiciel pour développer et tester ses applications.</w:t>
      </w:r>
    </w:p>
    <w:p w:rsidR="00DC582F" w:rsidRPr="00DC582F" w:rsidRDefault="00DC582F" w:rsidP="00E02845">
      <w:pPr>
        <w:pStyle w:val="Heading2"/>
        <w:widowControl w:val="0"/>
        <w:tabs>
          <w:tab w:val="left" w:pos="5760"/>
        </w:tabs>
        <w:rPr>
          <w:rStyle w:val="Body2Char"/>
          <w:rFonts w:eastAsia="SimSun"/>
          <w:sz w:val="20"/>
          <w:szCs w:val="20"/>
        </w:rPr>
      </w:pPr>
      <w:r>
        <w:rPr>
          <w:bCs w:val="0"/>
          <w:sz w:val="20"/>
          <w:szCs w:val="20"/>
        </w:rPr>
        <w:t>Utilisation dans le cadre d’une démonstration.</w:t>
      </w:r>
      <w:r>
        <w:rPr>
          <w:rStyle w:val="Body2Char"/>
          <w:sz w:val="20"/>
          <w:szCs w:val="20"/>
        </w:rPr>
        <w:t xml:space="preserve">  </w:t>
      </w:r>
      <w:r>
        <w:rPr>
          <w:rStyle w:val="Body2Char"/>
          <w:b w:val="0"/>
          <w:sz w:val="20"/>
          <w:szCs w:val="20"/>
        </w:rPr>
        <w:t>Les utilisations autorisées ci-dessus comprennent l’utilisation du logiciel dans le cadre de la démonstration de vos applications.</w:t>
      </w:r>
    </w:p>
    <w:p w:rsidR="00DC582F" w:rsidRPr="00DC582F" w:rsidRDefault="00DC582F" w:rsidP="00E02845">
      <w:pPr>
        <w:pStyle w:val="Heading2"/>
        <w:widowControl w:val="0"/>
        <w:tabs>
          <w:tab w:val="left" w:pos="5760"/>
        </w:tabs>
        <w:rPr>
          <w:rStyle w:val="Body2Char"/>
          <w:rFonts w:eastAsia="SimSun"/>
          <w:sz w:val="20"/>
          <w:szCs w:val="20"/>
        </w:rPr>
      </w:pPr>
      <w:r>
        <w:rPr>
          <w:rStyle w:val="Body2Char"/>
          <w:sz w:val="20"/>
          <w:szCs w:val="20"/>
        </w:rPr>
        <w:t>Copie de sauvegarde.</w:t>
      </w:r>
      <w:r>
        <w:rPr>
          <w:rStyle w:val="Body2Char"/>
          <w:b w:val="0"/>
          <w:sz w:val="20"/>
          <w:szCs w:val="20"/>
        </w:rPr>
        <w:t xml:space="preserve">  Vous êtes autorisé à effectuer une (1) copie de sauvegarde du logiciel afin de le réinstaller.</w:t>
      </w:r>
    </w:p>
    <w:p w:rsidR="00DC582F" w:rsidRDefault="00DC582F" w:rsidP="00146601">
      <w:pPr>
        <w:pStyle w:val="Heading1"/>
        <w:tabs>
          <w:tab w:val="clear" w:pos="810"/>
          <w:tab w:val="num" w:pos="450"/>
        </w:tabs>
        <w:ind w:left="447"/>
      </w:pPr>
      <w:r>
        <w:t>TERMES APPLICABLES À DES COMPOSANTS SPÉCIFIQUES.</w:t>
      </w:r>
    </w:p>
    <w:p w:rsidR="003A191E" w:rsidRPr="00781642" w:rsidRDefault="009A7A15" w:rsidP="00E02845">
      <w:pPr>
        <w:pStyle w:val="Heading2"/>
        <w:widowControl w:val="0"/>
        <w:tabs>
          <w:tab w:val="left" w:pos="5760"/>
        </w:tabs>
        <w:rPr>
          <w:rFonts w:eastAsia="SimSun"/>
          <w:sz w:val="20"/>
          <w:szCs w:val="20"/>
        </w:rPr>
      </w:pPr>
      <w:r>
        <w:rPr>
          <w:sz w:val="20"/>
          <w:szCs w:val="20"/>
        </w:rPr>
        <w:t xml:space="preserve">Programmes Microsoft fournis. </w:t>
      </w:r>
      <w:r>
        <w:rPr>
          <w:b w:val="0"/>
          <w:bCs w:val="0"/>
          <w:sz w:val="20"/>
          <w:szCs w:val="20"/>
        </w:rPr>
        <w:t>Le logiciel contient d’autres programmes Microsoft. Les termes spécifiques à ces programmes s’appliquent à leur utilisation.</w:t>
      </w:r>
    </w:p>
    <w:p w:rsidR="008602E2" w:rsidRPr="000073D2" w:rsidRDefault="00781642" w:rsidP="000073D2">
      <w:pPr>
        <w:pStyle w:val="Heading2"/>
        <w:widowControl w:val="0"/>
        <w:tabs>
          <w:tab w:val="left" w:pos="5760"/>
        </w:tabs>
        <w:rPr>
          <w:rFonts w:eastAsia="SimSun"/>
          <w:sz w:val="20"/>
          <w:szCs w:val="20"/>
        </w:rPr>
      </w:pPr>
      <w:r>
        <w:rPr>
          <w:sz w:val="20"/>
          <w:szCs w:val="20"/>
        </w:rPr>
        <w:t xml:space="preserve">Composants tiers.  </w:t>
      </w:r>
      <w:r>
        <w:rPr>
          <w:b w:val="0"/>
          <w:bCs w:val="0"/>
          <w:sz w:val="20"/>
          <w:szCs w:val="20"/>
        </w:rPr>
        <w:t xml:space="preserve">Le logiciel peut inclure des composants de tiers accompagnés de mentions légales distinctes ou régis par d’autres contrats, comme décrits dans le(s) fichier(s) ThirdPartyNotices fourni(s) avec le logiciel, le cas échéant.  </w:t>
      </w:r>
    </w:p>
    <w:p w:rsidR="00DC582F" w:rsidRPr="00334A0B" w:rsidRDefault="00DC582F" w:rsidP="00146601">
      <w:pPr>
        <w:pStyle w:val="Heading2"/>
        <w:widowControl w:val="0"/>
        <w:tabs>
          <w:tab w:val="left" w:pos="5760"/>
        </w:tabs>
        <w:rPr>
          <w:rFonts w:eastAsia="SimSun"/>
          <w:b w:val="0"/>
          <w:sz w:val="20"/>
          <w:szCs w:val="20"/>
        </w:rPr>
      </w:pPr>
      <w:r>
        <w:rPr>
          <w:sz w:val="20"/>
          <w:szCs w:val="20"/>
        </w:rPr>
        <w:t xml:space="preserve">Plateformes Microsoft. </w:t>
      </w:r>
      <w:r>
        <w:rPr>
          <w:b w:val="0"/>
          <w:sz w:val="20"/>
          <w:szCs w:val="20"/>
        </w:rPr>
        <w:t>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 le dossier « Licences » de Microsoft fourni avec le logiciel, sauf si les termes des contrats de licence de ces composants logiciels sont également disponibles directement dans le répertoire d’installation associé, auquel cas ces termes du contrat de licence prévalent.</w:t>
      </w:r>
    </w:p>
    <w:p w:rsidR="006E4093" w:rsidRDefault="00DC582F" w:rsidP="00146601">
      <w:pPr>
        <w:pStyle w:val="Heading2"/>
        <w:widowControl w:val="0"/>
        <w:tabs>
          <w:tab w:val="left" w:pos="5760"/>
        </w:tabs>
        <w:rPr>
          <w:rFonts w:eastAsia="SimSun"/>
          <w:b w:val="0"/>
          <w:sz w:val="20"/>
          <w:szCs w:val="20"/>
        </w:rPr>
      </w:pPr>
      <w:r>
        <w:rPr>
          <w:sz w:val="20"/>
          <w:szCs w:val="20"/>
        </w:rPr>
        <w:t xml:space="preserve">Gestionnaires de packages.  </w:t>
      </w:r>
      <w:r>
        <w:rPr>
          <w:b w:val="0"/>
          <w:sz w:val="20"/>
          <w:szCs w:val="20"/>
        </w:rPr>
        <w:t>Le logiciel inclut des gestionnaires de packages, tels que NuGet, qui vous donnent la possibilité de télécharger d’autres packages logiciels de Microsoft ou de tiers en vue de les utiliser avec votre application. Ces packages sont régis par leurs licences respectives, et non par ce contrat. Microsoft ne distribue pas, ne concède aucun droit de licence et ne fournit aucune garantie pour les packages logiciels de tiers.</w:t>
      </w:r>
    </w:p>
    <w:p w:rsidR="00DC582F" w:rsidRPr="00334A0B" w:rsidRDefault="00E4050A" w:rsidP="00146601">
      <w:pPr>
        <w:pStyle w:val="Heading2"/>
        <w:widowControl w:val="0"/>
        <w:tabs>
          <w:tab w:val="left" w:pos="5760"/>
        </w:tabs>
        <w:rPr>
          <w:rFonts w:eastAsia="SimSun"/>
          <w:b w:val="0"/>
          <w:sz w:val="20"/>
          <w:szCs w:val="20"/>
        </w:rPr>
      </w:pPr>
      <w:r>
        <w:t xml:space="preserve">Outils de build.   </w:t>
      </w:r>
      <w:r>
        <w:rPr>
          <w:b w:val="0"/>
        </w:rPr>
        <w:t>À partir du logiciel, vous pouvez copier et installer des fichiers sur vos dispositifs de build, qu’il s’agisse de dispositifs physiques, de machines virtuelles ou de conteneurs sur ces machines ; de machines sur site ou à distance vous appartenant, hébergées par Azure pour vous ou uniquement dédiées à votre utilisation (collectivement, les « Dispositifs de Build »).  Vous et d’autres personnes de votre organisation êtes autorisés à utiliser c</w:t>
      </w:r>
      <w:r>
        <w:rPr>
          <w:b w:val="0"/>
          <w:bCs w:val="0"/>
        </w:rPr>
        <w:t>es fichiers sur vos Dispositifs de Build uniquement pour compiler, créer et vérifier vos applications ou effectuer des tests de qualité ou de performance de ces applications dans le cadre du processus de création.  À des fins de clarté, le terme « applications » désigne les applications que vous et d’autres personnes de votre organisation avez développées et pour lesquelles une licence individuelle d’utilisation du logiciel a été concédée.</w:t>
      </w:r>
      <w:r>
        <w:rPr>
          <w:b w:val="0"/>
          <w:sz w:val="20"/>
          <w:szCs w:val="20"/>
        </w:rPr>
        <w:t xml:space="preserve">     </w:t>
      </w:r>
    </w:p>
    <w:p w:rsidR="008113AA" w:rsidRPr="00AC6E1F" w:rsidRDefault="00031BF9" w:rsidP="00146601">
      <w:pPr>
        <w:pStyle w:val="Heading1"/>
        <w:tabs>
          <w:tab w:val="clear" w:pos="810"/>
          <w:tab w:val="num" w:pos="450"/>
        </w:tabs>
        <w:ind w:left="447"/>
        <w:rPr>
          <w:b w:val="0"/>
        </w:rPr>
      </w:pPr>
      <w:r>
        <w:t xml:space="preserve">CODE DISTRIBUABLE. </w:t>
      </w:r>
      <w:r>
        <w:rPr>
          <w:b w:val="0"/>
        </w:rPr>
        <w:t xml:space="preserve">Le logiciel contient du code que vous êtes autorisé à distribuer non modifié dans les applications que vous développez, sous réserve de vous conformer aux conditions ci-après.  (Dans le </w:t>
      </w:r>
      <w:r>
        <w:rPr>
          <w:b w:val="0"/>
        </w:rPr>
        <w:lastRenderedPageBreak/>
        <w:t>cadre du présent Article, le terme « distribution » désigne également le fait de déployer vos applications pour fournir un accès en ligne à des tiers.)</w:t>
      </w:r>
    </w:p>
    <w:p w:rsidR="008113AA" w:rsidRPr="00B85B59" w:rsidRDefault="00146601" w:rsidP="007C22B7">
      <w:pPr>
        <w:pStyle w:val="Heading2"/>
        <w:widowControl w:val="0"/>
        <w:rPr>
          <w:rFonts w:eastAsia="SimSun"/>
          <w:b w:val="0"/>
          <w:sz w:val="20"/>
          <w:szCs w:val="20"/>
        </w:rPr>
      </w:pPr>
      <w:r>
        <w:rPr>
          <w:bCs w:val="0"/>
          <w:sz w:val="20"/>
          <w:szCs w:val="20"/>
        </w:rPr>
        <w:t xml:space="preserve">Droits de Distribution. </w:t>
      </w:r>
      <w:r>
        <w:rPr>
          <w:rStyle w:val="Body3Char"/>
          <w:sz w:val="20"/>
          <w:szCs w:val="20"/>
        </w:rPr>
        <w:t xml:space="preserve"> </w:t>
      </w:r>
      <w:r>
        <w:rPr>
          <w:rStyle w:val="Body3Char"/>
          <w:b w:val="0"/>
          <w:sz w:val="20"/>
          <w:szCs w:val="20"/>
        </w:rPr>
        <w:t>Le code et les fichiers texte répertoriés ci-après constituent le « </w:t>
      </w:r>
      <w:r>
        <w:rPr>
          <w:rStyle w:val="Body3Char"/>
          <w:sz w:val="20"/>
          <w:szCs w:val="20"/>
        </w:rPr>
        <w:t xml:space="preserve">Code Distribuable </w:t>
      </w:r>
      <w:r>
        <w:rPr>
          <w:rStyle w:val="Body3Char"/>
          <w:b w:val="0"/>
          <w:sz w:val="20"/>
          <w:szCs w:val="20"/>
        </w:rPr>
        <w:t>».</w:t>
      </w:r>
    </w:p>
    <w:p w:rsidR="00167678" w:rsidRDefault="00167678" w:rsidP="007424B2">
      <w:pPr>
        <w:pStyle w:val="Bullet4Underlined"/>
        <w:widowControl w:val="0"/>
        <w:numPr>
          <w:ilvl w:val="0"/>
          <w:numId w:val="4"/>
        </w:numPr>
        <w:tabs>
          <w:tab w:val="num" w:pos="1080"/>
        </w:tabs>
        <w:ind w:left="1080" w:hanging="360"/>
        <w:rPr>
          <w:rFonts w:eastAsia="SimSun"/>
          <w:sz w:val="20"/>
          <w:szCs w:val="20"/>
          <w:u w:val="none"/>
        </w:rPr>
      </w:pPr>
      <w:r>
        <w:rPr>
          <w:sz w:val="20"/>
          <w:szCs w:val="20"/>
        </w:rPr>
        <w:t>Fichiers REDIST.TXT</w:t>
      </w:r>
      <w:r>
        <w:rPr>
          <w:sz w:val="20"/>
          <w:szCs w:val="20"/>
          <w:u w:val="none"/>
        </w:rPr>
        <w:t xml:space="preserve">. Vous êtes autorisé à copier et à distribuer la version en code objet du code répertorié dans la liste REDIST figurant à l’adresse </w:t>
      </w:r>
      <w:hyperlink r:id="rId11" w:history="1">
        <w:r>
          <w:rPr>
            <w:rStyle w:val="Hyperlink"/>
          </w:rPr>
          <w:t>https://go.microsoft.com/fwlink/?LinkId=823098</w:t>
        </w:r>
      </w:hyperlink>
      <w:r>
        <w:rPr>
          <w:sz w:val="20"/>
          <w:szCs w:val="20"/>
          <w:u w:val="none"/>
        </w:rPr>
        <w:t>.</w:t>
      </w:r>
    </w:p>
    <w:p w:rsidR="006C30E2" w:rsidRPr="00334A0B" w:rsidRDefault="00E25FF6" w:rsidP="007424B2">
      <w:pPr>
        <w:pStyle w:val="Bullet4Underlined"/>
        <w:widowControl w:val="0"/>
        <w:numPr>
          <w:ilvl w:val="0"/>
          <w:numId w:val="4"/>
        </w:numPr>
        <w:tabs>
          <w:tab w:val="num" w:pos="1080"/>
        </w:tabs>
        <w:ind w:left="1080" w:hanging="360"/>
        <w:rPr>
          <w:rFonts w:eastAsia="SimSun"/>
          <w:sz w:val="20"/>
          <w:szCs w:val="20"/>
          <w:u w:val="none"/>
        </w:rPr>
      </w:pPr>
      <w:r>
        <w:t>Code Échantillon, Modèles et Styles</w:t>
      </w:r>
      <w:r>
        <w:rPr>
          <w:u w:val="none"/>
        </w:rPr>
        <w:t xml:space="preserve">. Vous êtes autorisé à copier, modifier et distribuer les versions en code source et objet du code dit « échantillon », « modèle », « styles simples » ou « styles croquis ». </w:t>
      </w:r>
    </w:p>
    <w:p w:rsidR="008113AA" w:rsidRPr="0009229E" w:rsidRDefault="009A7A15" w:rsidP="007C22B7">
      <w:pPr>
        <w:pStyle w:val="Bullet4Underline"/>
        <w:widowControl w:val="0"/>
        <w:tabs>
          <w:tab w:val="num" w:pos="720"/>
        </w:tabs>
        <w:ind w:left="1080" w:hanging="360"/>
        <w:rPr>
          <w:rFonts w:eastAsia="SimSun"/>
          <w:sz w:val="20"/>
          <w:szCs w:val="20"/>
        </w:rPr>
      </w:pPr>
      <w:r>
        <w:rPr>
          <w:sz w:val="20"/>
          <w:szCs w:val="20"/>
        </w:rPr>
        <w:t>Distribution par des tiers</w:t>
      </w:r>
      <w:r>
        <w:rPr>
          <w:sz w:val="20"/>
          <w:szCs w:val="20"/>
          <w:u w:val="none"/>
        </w:rPr>
        <w:t>. Vous pouvez autoriser les distributeurs de vos applications à copier et à distribuer le Code distribuable en tant que partie intégrante de ces applications.</w:t>
      </w:r>
    </w:p>
    <w:p w:rsidR="008113AA" w:rsidRDefault="009A7A15">
      <w:pPr>
        <w:pStyle w:val="Heading3Bold"/>
        <w:widowControl w:val="0"/>
        <w:tabs>
          <w:tab w:val="clear" w:pos="1440"/>
          <w:tab w:val="num" w:pos="1077"/>
        </w:tabs>
        <w:rPr>
          <w:rFonts w:eastAsia="SimSun"/>
          <w:sz w:val="20"/>
          <w:szCs w:val="20"/>
        </w:rPr>
      </w:pPr>
      <w:r>
        <w:rPr>
          <w:sz w:val="20"/>
          <w:szCs w:val="20"/>
        </w:rPr>
        <w:t>Conditions de Distribution.</w:t>
      </w:r>
      <w:r>
        <w:rPr>
          <w:rStyle w:val="Body3Char"/>
          <w:sz w:val="20"/>
          <w:szCs w:val="20"/>
        </w:rPr>
        <w:t xml:space="preserve"> </w:t>
      </w:r>
      <w:r>
        <w:rPr>
          <w:rStyle w:val="Body3Char"/>
          <w:b w:val="0"/>
          <w:sz w:val="20"/>
          <w:szCs w:val="20"/>
        </w:rPr>
        <w:t>Pour tout Code Distribuable que vous distribuez, vous devez :</w:t>
      </w:r>
    </w:p>
    <w:p w:rsidR="008113AA" w:rsidRDefault="009A7A15">
      <w:pPr>
        <w:pStyle w:val="Bullet4"/>
        <w:widowControl w:val="0"/>
        <w:rPr>
          <w:rFonts w:eastAsia="SimSun"/>
          <w:sz w:val="20"/>
          <w:szCs w:val="20"/>
        </w:rPr>
      </w:pPr>
      <w:r>
        <w:rPr>
          <w:sz w:val="20"/>
          <w:szCs w:val="20"/>
        </w:rPr>
        <w:t>ajouter à ce Code des fonctionnalités principales importantes au sein de vos applications ;</w:t>
      </w:r>
    </w:p>
    <w:p w:rsidR="008113AA" w:rsidRDefault="009A7A15">
      <w:pPr>
        <w:pStyle w:val="Bullet4"/>
        <w:widowControl w:val="0"/>
        <w:rPr>
          <w:rFonts w:eastAsia="SimSun"/>
          <w:sz w:val="20"/>
          <w:szCs w:val="20"/>
        </w:rPr>
      </w:pPr>
      <w:r>
        <w:rPr>
          <w:sz w:val="20"/>
          <w:szCs w:val="20"/>
        </w:rPr>
        <w:t>exiger des distributeurs et des utilisateurs finaux externes qu’ils acceptent les termes qui protègent le Code Distribuable de manière au moins équivalente à ceux du présent contrat ; et</w:t>
      </w:r>
    </w:p>
    <w:p w:rsidR="008113AA" w:rsidRDefault="009A7A15">
      <w:pPr>
        <w:pStyle w:val="Bullet4"/>
        <w:widowControl w:val="0"/>
        <w:rPr>
          <w:rFonts w:eastAsia="SimSun"/>
          <w:sz w:val="20"/>
          <w:szCs w:val="20"/>
        </w:rPr>
      </w:pPr>
      <w:r>
        <w:rPr>
          <w:sz w:val="20"/>
          <w:szCs w:val="20"/>
        </w:rPr>
        <w:t>garantir et défendre Microsoft contre toute réclamation, y compris pour les honoraires d’avocats et de conseil, qui résulterait de la distribution ou de l’utilisation de vos applications, sauf dans la mesure où la réclamation est fondée uniquement sur le Code Distribuable.</w:t>
      </w:r>
    </w:p>
    <w:p w:rsidR="008113AA" w:rsidRDefault="009A7A15">
      <w:pPr>
        <w:pStyle w:val="Heading3Bold"/>
        <w:widowControl w:val="0"/>
        <w:tabs>
          <w:tab w:val="clear" w:pos="1440"/>
          <w:tab w:val="num" w:pos="1077"/>
        </w:tabs>
        <w:rPr>
          <w:rFonts w:eastAsia="SimSun"/>
          <w:sz w:val="20"/>
          <w:szCs w:val="20"/>
        </w:rPr>
      </w:pPr>
      <w:r>
        <w:rPr>
          <w:sz w:val="20"/>
          <w:szCs w:val="20"/>
        </w:rPr>
        <w:t>Restrictions de distribution.</w:t>
      </w:r>
      <w:r>
        <w:rPr>
          <w:rStyle w:val="Body3Char"/>
          <w:sz w:val="20"/>
          <w:szCs w:val="20"/>
        </w:rPr>
        <w:t xml:space="preserve"> Vous n’êtes pas autorisé à :</w:t>
      </w:r>
    </w:p>
    <w:p w:rsidR="008113AA" w:rsidRDefault="009A7A15">
      <w:pPr>
        <w:pStyle w:val="Bullet4"/>
        <w:widowControl w:val="0"/>
        <w:rPr>
          <w:rFonts w:eastAsia="SimSun"/>
          <w:sz w:val="20"/>
          <w:szCs w:val="20"/>
        </w:rPr>
      </w:pPr>
      <w:r>
        <w:rPr>
          <w:sz w:val="20"/>
          <w:szCs w:val="20"/>
        </w:rPr>
        <w:t xml:space="preserve">utiliser les marques commerciales de Microsoft dans les noms de vos applications ou d’une façon qui suggère que vos applications sont fournies ou recommandées par Microsoft ; ou </w:t>
      </w:r>
    </w:p>
    <w:p w:rsidR="008113AA" w:rsidRDefault="009A7A15" w:rsidP="00F72057">
      <w:pPr>
        <w:pStyle w:val="Bullet4"/>
        <w:widowControl w:val="0"/>
        <w:rPr>
          <w:rFonts w:eastAsia="SimSun"/>
          <w:sz w:val="20"/>
          <w:szCs w:val="20"/>
        </w:rPr>
      </w:pPr>
      <w:r>
        <w:rPr>
          <w:sz w:val="20"/>
          <w:szCs w:val="20"/>
        </w:rPr>
        <w:t>modifier ou distribuer le code source de tout Code Distribuable de manière à ce qu’il fasse l’objet, en tout ou partie, d’une Licence Exclue. Une Licence Exclue implique comme condition d’utilisation, de modification ou de distribution, que (i) le code soit divulgué ou distribué sous forme de code source ; ou que (ii) d’autres personnes aient le droit de le modifier.</w:t>
      </w:r>
    </w:p>
    <w:p w:rsidR="001F5B04" w:rsidRDefault="0065335A" w:rsidP="00A920A1">
      <w:pPr>
        <w:pStyle w:val="Heading1"/>
        <w:tabs>
          <w:tab w:val="clear" w:pos="810"/>
          <w:tab w:val="num" w:pos="450"/>
        </w:tabs>
        <w:ind w:left="447"/>
        <w:rPr>
          <w:b w:val="0"/>
        </w:rPr>
      </w:pPr>
      <w:r>
        <w:t>DONNÉES</w:t>
      </w:r>
      <w:r>
        <w:rPr>
          <w:b w:val="0"/>
        </w:rPr>
        <w:t xml:space="preserve">. </w:t>
      </w:r>
    </w:p>
    <w:p w:rsidR="0009229E" w:rsidRDefault="00E41D76" w:rsidP="001F5B04">
      <w:pPr>
        <w:pStyle w:val="Heading2"/>
        <w:widowControl w:val="0"/>
        <w:rPr>
          <w:b w:val="0"/>
        </w:rPr>
      </w:pPr>
      <w:r>
        <w:t>Collecte de données.</w:t>
      </w:r>
      <w:r>
        <w:rPr>
          <w:b w:val="0"/>
        </w:rPr>
        <w:t xml:space="preserve"> Le logiciel peut recueillir des informations sur vous et la façon dont vous l’utilisez, et les transmettre à Microsoft. Microsoft est susceptible d’utiliser ces informations pour fournir des services et améliorer ses produits et services.  Vous pouvez désactiver la plupart de ces fonctionnalités, à l’exception de certaines, comme indiqué dans la documentation du produit.  Le logiciel comprend également</w:t>
      </w:r>
      <w:r>
        <w:rPr>
          <w:b w:val="0"/>
          <w:color w:val="000000"/>
        </w:rPr>
        <w:t xml:space="preserve"> certaines fonctionnalités qui peuvent vous permettre, à vous et à Microsoft, de collecter des données auprès des utilisateurs de vos applications</w:t>
      </w:r>
      <w:r>
        <w:rPr>
          <w:b w:val="0"/>
        </w:rPr>
        <w:t xml:space="preserve">. Si vous utilisez ces fonctionnalités, vous devez le faire en toute conformité avec la réglementation applicable, notamment en informant les utilisateurs de vos applications par l’intermédiaire de notifications appropriées. Vous devez également fournir une copie de notre déclaration de confidentialité à vos utilisateurs. Notre déclaration de confidentialité est disponible à l’adresse suivante </w:t>
      </w:r>
      <w:hyperlink r:id="rId12" w:history="1">
        <w:r>
          <w:rPr>
            <w:rStyle w:val="Hyperlink"/>
            <w:b w:val="0"/>
            <w:sz w:val="20"/>
            <w:szCs w:val="20"/>
          </w:rPr>
          <w:t>https://go.microsoft.com/fwlink/?LinkID=824704</w:t>
        </w:r>
      </w:hyperlink>
      <w:r>
        <w:rPr>
          <w:b w:val="0"/>
        </w:rPr>
        <w:t>. Pour plus d’informations sur la collecte et l’utilisation de données, consultez la documentation dֹ’aide et notre déclaration de confidentialité. Votre utilisation du logiciel vaut acceptation de ces pratiques.</w:t>
      </w:r>
    </w:p>
    <w:p w:rsidR="001F5B04" w:rsidRPr="00A920A1" w:rsidRDefault="001F5B04" w:rsidP="00CA4130">
      <w:pPr>
        <w:pStyle w:val="Heading2"/>
        <w:widowControl w:val="0"/>
        <w:rPr>
          <w:b w:val="0"/>
        </w:rPr>
      </w:pPr>
      <w:r>
        <w:t>Traitement des données à caractère personnel.</w:t>
      </w:r>
      <w:r>
        <w:rPr>
          <w:b w:val="0"/>
        </w:rPr>
        <w:t xml:space="preserve"> Dans la mesure où Microsoft est un opérateur ou un sous-opérateur de traitement de données à caractère personnel en association avec le logiciel, Microsoft prend les engagements dans les termes du Règlement général de protection des données de l’Union européenne des Conditions de services en Ligne envers tous les clients effectives le </w:t>
      </w:r>
      <w:r>
        <w:rPr>
          <w:b w:val="0"/>
        </w:rPr>
        <w:lastRenderedPageBreak/>
        <w:t xml:space="preserve">25 mai 2018 à l’adresse </w:t>
      </w:r>
      <w:hyperlink r:id="rId13" w:history="1">
        <w:r>
          <w:rPr>
            <w:rStyle w:val="Hyperlink"/>
            <w:b w:val="0"/>
          </w:rPr>
          <w:t>http://go.microsoft.com/?linkid=9840733</w:t>
        </w:r>
      </w:hyperlink>
      <w:r>
        <w:rPr>
          <w:b w:val="0"/>
        </w:rPr>
        <w:t>.</w:t>
      </w:r>
    </w:p>
    <w:p w:rsidR="008113AA" w:rsidRPr="00A920A1" w:rsidRDefault="009A7A15" w:rsidP="00A920A1">
      <w:pPr>
        <w:pStyle w:val="Heading1"/>
        <w:tabs>
          <w:tab w:val="clear" w:pos="810"/>
          <w:tab w:val="num" w:pos="450"/>
        </w:tabs>
        <w:ind w:left="447"/>
        <w:rPr>
          <w:b w:val="0"/>
        </w:rPr>
      </w:pPr>
      <w:r>
        <w:t xml:space="preserve">CHAMP D’APPLICATION DE LA LICENCE. </w:t>
      </w:r>
      <w:r>
        <w:rPr>
          <w:b w:val="0"/>
        </w:rPr>
        <w:t>Le logiciel n’est pas vendu mais concédé sous licence. Le présent contrat vous confère certains droits d’utilisation du logiciel. Microsoft se réserve tous les autres droits. À moins que la réglementation applicable ne vous confère d’autres droits nonobstant la présente limitation, vous n’êtes autorisé à utiliser le logiciel qu’en conformité avec les termes du présent contrat. À cette fin, vous devez vous conformer aux restrictions techniques contenues dans le logiciel, qui limitent vos droits d'utilisation du logiciel. Par exemple, Microsoft a appliqué des restrictions techniques ou désactivé l’extensibilité pour le logiciel, et vous n’êtes pas autorisé à étendre le logiciel, notamment, en chargeant ou en ajoutant au logiciel des logiciels complément, des macros ou des progiciels non Microsoft ; en modifiant les paramètres de Registre du logiciel ; ou en ajoutant des fonctions ou fonctionnalités équivalentes à celles d’autres produits Visual Studio.</w:t>
      </w:r>
    </w:p>
    <w:p w:rsidR="00E94B45" w:rsidRPr="00F371B9" w:rsidRDefault="00F371B9" w:rsidP="00A920A1">
      <w:pPr>
        <w:pStyle w:val="Heading1"/>
        <w:widowControl w:val="0"/>
        <w:numPr>
          <w:ilvl w:val="0"/>
          <w:numId w:val="0"/>
        </w:numPr>
        <w:ind w:left="807" w:hanging="357"/>
        <w:rPr>
          <w:rFonts w:eastAsia="SimSun"/>
          <w:b w:val="0"/>
          <w:sz w:val="20"/>
          <w:szCs w:val="20"/>
        </w:rPr>
      </w:pPr>
      <w:r>
        <w:rPr>
          <w:b w:val="0"/>
          <w:sz w:val="20"/>
          <w:szCs w:val="20"/>
        </w:rPr>
        <w:t>Vous n’êtes pas non plus autorisé à :</w:t>
      </w:r>
    </w:p>
    <w:p w:rsidR="008113AA" w:rsidRDefault="00F72057">
      <w:pPr>
        <w:pStyle w:val="Bullet2"/>
        <w:widowControl w:val="0"/>
        <w:rPr>
          <w:rFonts w:eastAsia="SimSun"/>
          <w:sz w:val="20"/>
          <w:szCs w:val="20"/>
        </w:rPr>
      </w:pPr>
      <w:r>
        <w:rPr>
          <w:sz w:val="20"/>
          <w:szCs w:val="20"/>
        </w:rPr>
        <w:t>contourner les restrictions techniques contenues dans le logiciel ;</w:t>
      </w:r>
    </w:p>
    <w:p w:rsidR="008113AA" w:rsidRPr="00C42026" w:rsidRDefault="009A7A15">
      <w:pPr>
        <w:pStyle w:val="Bullet2"/>
        <w:widowControl w:val="0"/>
        <w:rPr>
          <w:rFonts w:eastAsia="SimSun"/>
          <w:sz w:val="20"/>
          <w:szCs w:val="20"/>
        </w:rPr>
      </w:pPr>
      <w:r>
        <w:rPr>
          <w:sz w:val="20"/>
          <w:szCs w:val="20"/>
        </w:rPr>
        <w:t xml:space="preserve">reconstituer la logique du logiciel, le décompiler ou le désassembler, ou tenter de quelque autre manière de dériver le code source du logiciel, sauf si et dans la mesure </w:t>
      </w:r>
      <w:r>
        <w:t>où les termes du contrat de licence tiers régissant l’utilisation des composants open source éventuellement inclus dans le logiciel vous y autorisent ;</w:t>
      </w:r>
    </w:p>
    <w:p w:rsidR="00F72057" w:rsidRPr="00C42026" w:rsidRDefault="00F72057">
      <w:pPr>
        <w:pStyle w:val="Bullet2"/>
        <w:widowControl w:val="0"/>
        <w:rPr>
          <w:rFonts w:eastAsia="SimSun"/>
          <w:sz w:val="20"/>
          <w:szCs w:val="20"/>
        </w:rPr>
      </w:pPr>
      <w:r>
        <w:t>supprimer, réduire, bloquer ou modifier toute mention légale de Microsoft ou de ses fournisseurs dans le logiciel ;</w:t>
      </w:r>
    </w:p>
    <w:p w:rsidR="00F72057" w:rsidRDefault="00F72057">
      <w:pPr>
        <w:pStyle w:val="Bullet2"/>
        <w:widowControl w:val="0"/>
        <w:rPr>
          <w:rFonts w:eastAsia="SimSun"/>
          <w:sz w:val="20"/>
          <w:szCs w:val="20"/>
        </w:rPr>
      </w:pPr>
      <w:r>
        <w:t>utiliser le logiciel d’une manière contraire à la législation ; ou</w:t>
      </w:r>
    </w:p>
    <w:p w:rsidR="005D6CBC" w:rsidRDefault="00FE67BA">
      <w:pPr>
        <w:pStyle w:val="Bullet2"/>
        <w:widowControl w:val="0"/>
        <w:rPr>
          <w:rFonts w:eastAsia="SimSun"/>
          <w:sz w:val="20"/>
          <w:szCs w:val="20"/>
        </w:rPr>
      </w:pPr>
      <w:r>
        <w:rPr>
          <w:sz w:val="20"/>
          <w:szCs w:val="20"/>
        </w:rPr>
        <w:t>partager, publier louer ou prêter le logiciel, ou le fournir en tant que solution hébergée autonome utilisable par autrui, ou transférer le logiciel ou ce contrat à un tiers.</w:t>
      </w:r>
    </w:p>
    <w:p w:rsidR="003807C8" w:rsidRPr="00A920A1" w:rsidRDefault="003807C8" w:rsidP="00A920A1">
      <w:pPr>
        <w:pStyle w:val="Heading1"/>
        <w:tabs>
          <w:tab w:val="clear" w:pos="810"/>
          <w:tab w:val="num" w:pos="450"/>
        </w:tabs>
        <w:ind w:left="447"/>
      </w:pPr>
      <w:r>
        <w:t xml:space="preserve">SERVICE D’ASSISTANCE TECHNIQUE. </w:t>
      </w:r>
      <w:r>
        <w:rPr>
          <w:b w:val="0"/>
        </w:rPr>
        <w:t>Ce logiciel étant fourni « en l’état ». Microsoft ne fournira aucun service d’assistance technique.</w:t>
      </w:r>
    </w:p>
    <w:p w:rsidR="003807C8" w:rsidRPr="00A920A1" w:rsidRDefault="003807C8" w:rsidP="00A920A1">
      <w:pPr>
        <w:pStyle w:val="Heading1"/>
        <w:tabs>
          <w:tab w:val="clear" w:pos="810"/>
          <w:tab w:val="num" w:pos="450"/>
        </w:tabs>
        <w:ind w:left="447"/>
        <w:rPr>
          <w:b w:val="0"/>
        </w:rPr>
      </w:pPr>
      <w:r>
        <w:t xml:space="preserve">INTÉGRALITÉ DES ACCORDS. </w:t>
      </w:r>
      <w:r>
        <w:rPr>
          <w:b w:val="0"/>
        </w:rPr>
        <w:t>Le présent contrat ainsi que les termes concernant les suppléments, les mises à jour, les services Internet et l’assistance technique que vous utilisez constituent l’intégralité des accords en ce qui concerne le logiciel et les services d’assistance technique.</w:t>
      </w:r>
    </w:p>
    <w:p w:rsidR="008113AA" w:rsidRDefault="009A7A15" w:rsidP="00A920A1">
      <w:pPr>
        <w:pStyle w:val="Heading1"/>
        <w:tabs>
          <w:tab w:val="clear" w:pos="810"/>
          <w:tab w:val="num" w:pos="450"/>
        </w:tabs>
        <w:ind w:left="447"/>
        <w:rPr>
          <w:rStyle w:val="Hyperlink"/>
          <w:rFonts w:eastAsia="SimSun" w:cs="Tahoma"/>
          <w:color w:val="auto"/>
          <w:sz w:val="20"/>
          <w:szCs w:val="20"/>
          <w:u w:val="none"/>
        </w:rPr>
      </w:pPr>
      <w:r>
        <w:t xml:space="preserve">RESTRICTIONS À L’EXPORTATION. </w:t>
      </w:r>
      <w:r>
        <w:rPr>
          <w:b w:val="0"/>
        </w:rPr>
        <w:t xml:space="preserve">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w:t>
      </w:r>
      <w:hyperlink w:history="1">
        <w:r>
          <w:rPr>
            <w:rStyle w:val="Hyperlink"/>
            <w:b w:val="0"/>
            <w:bCs w:val="0"/>
            <w:sz w:val="20"/>
            <w:szCs w:val="20"/>
          </w:rPr>
          <w:t>www.microsoft.com/exporting</w:t>
        </w:r>
      </w:hyperlink>
      <w:r>
        <w:rPr>
          <w:b w:val="0"/>
          <w:bCs w:val="0"/>
          <w:sz w:val="20"/>
          <w:szCs w:val="20"/>
        </w:rPr>
        <w:t>.</w:t>
      </w:r>
    </w:p>
    <w:p w:rsidR="008113AA" w:rsidRPr="00DC582F" w:rsidRDefault="009A7A15" w:rsidP="00FF4AE5">
      <w:pPr>
        <w:pStyle w:val="Heading1"/>
        <w:tabs>
          <w:tab w:val="clear" w:pos="810"/>
          <w:tab w:val="num" w:pos="450"/>
        </w:tabs>
        <w:ind w:left="447"/>
        <w:rPr>
          <w:rFonts w:eastAsia="SimSun"/>
          <w:sz w:val="20"/>
          <w:szCs w:val="20"/>
        </w:rPr>
      </w:pPr>
      <w:r>
        <w:rPr>
          <w:caps/>
          <w:sz w:val="20"/>
          <w:szCs w:val="20"/>
        </w:rPr>
        <w:t>Réglementation applicable</w:t>
      </w:r>
      <w:r>
        <w:rPr>
          <w:sz w:val="20"/>
          <w:szCs w:val="20"/>
        </w:rPr>
        <w:t>.</w:t>
      </w:r>
      <w:r>
        <w:rPr>
          <w:b w:val="0"/>
          <w:bCs w:val="0"/>
          <w:sz w:val="20"/>
          <w:szCs w:val="20"/>
        </w:rPr>
        <w:t xml:space="preserve"> 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rsidR="00853C20" w:rsidRPr="00E14A13" w:rsidRDefault="00853C20" w:rsidP="00FF4AE5">
      <w:pPr>
        <w:pStyle w:val="Heading1"/>
        <w:tabs>
          <w:tab w:val="clear" w:pos="810"/>
          <w:tab w:val="num" w:pos="450"/>
        </w:tabs>
        <w:ind w:left="447"/>
        <w:rPr>
          <w:b w:val="0"/>
        </w:rPr>
      </w:pPr>
      <w:r>
        <w:t xml:space="preserve">DROITS DES CONSOMMATEURS VARIABLES SELON LES RÉGIONS. </w:t>
      </w:r>
      <w:r>
        <w:rPr>
          <w:b w:val="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impérative nationale s’applique, vous êtes tenu de vous conformer aux dispositions suivantes :</w:t>
      </w:r>
    </w:p>
    <w:p w:rsidR="00853C20" w:rsidRPr="00E14A13" w:rsidRDefault="00853C20" w:rsidP="00A75156">
      <w:pPr>
        <w:pStyle w:val="Heading2"/>
        <w:numPr>
          <w:ilvl w:val="0"/>
          <w:numId w:val="13"/>
        </w:numPr>
        <w:rPr>
          <w:b w:val="0"/>
        </w:rPr>
      </w:pPr>
      <w:r>
        <w:t xml:space="preserve">Australie. </w:t>
      </w:r>
      <w:r>
        <w:rPr>
          <w:b w:val="0"/>
        </w:rPr>
        <w:t>la loi australienne sur la consommation (Australian Consumer Law) vous accorde des garanties statutaires qu’aucun élément du présent contrat ne peut affecter.</w:t>
      </w:r>
    </w:p>
    <w:p w:rsidR="00853C20" w:rsidRPr="00E14A13" w:rsidRDefault="00853C20" w:rsidP="00A75156">
      <w:pPr>
        <w:pStyle w:val="Heading2"/>
        <w:numPr>
          <w:ilvl w:val="0"/>
          <w:numId w:val="13"/>
        </w:numPr>
        <w:rPr>
          <w:b w:val="0"/>
        </w:rPr>
      </w:pPr>
      <w:r>
        <w:t xml:space="preserve">Canada. </w:t>
      </w:r>
      <w:r>
        <w:rPr>
          <w:b w:val="0"/>
        </w:rPr>
        <w:t xml:space="preserve">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w:t>
      </w:r>
      <w:r>
        <w:rPr>
          <w:b w:val="0"/>
        </w:rPr>
        <w:lastRenderedPageBreak/>
        <w:t>reconnexion du dispositif à Internet) ou désinstaller le logiciel. La documentation du produit, le cas échéant, peut également indiquer comment désactiver les mises à jour de votre produit ou dispositif spécifique.</w:t>
      </w:r>
    </w:p>
    <w:p w:rsidR="00853C20" w:rsidRPr="00E14A13" w:rsidRDefault="00853C20" w:rsidP="00A75156">
      <w:pPr>
        <w:pStyle w:val="Heading2"/>
        <w:numPr>
          <w:ilvl w:val="0"/>
          <w:numId w:val="13"/>
        </w:numPr>
        <w:rPr>
          <w:b w:val="0"/>
        </w:rPr>
      </w:pPr>
      <w:r>
        <w:t>Allemagne et Autriche</w:t>
      </w:r>
      <w:r>
        <w:rPr>
          <w:b w:val="0"/>
        </w:rPr>
        <w:t>.</w:t>
      </w:r>
    </w:p>
    <w:p w:rsidR="00853C20" w:rsidRPr="00E14A13" w:rsidRDefault="00853C20" w:rsidP="00853C20">
      <w:pPr>
        <w:ind w:left="717"/>
      </w:pPr>
      <w:r>
        <w:rPr>
          <w:b/>
        </w:rPr>
        <w:t>(i)</w:t>
      </w:r>
      <w:r>
        <w:tab/>
      </w:r>
      <w:r>
        <w:rPr>
          <w:b/>
        </w:rPr>
        <w:t>Garantie</w:t>
      </w:r>
      <w:r>
        <w:t>. Le logiciel sous licence valable fonctionnera, pour l’essentiel, comme le décrit la documentation de Microsoft qui l’accompagne. Microsoft n’accorde toutefois aucune autre garantie contractuelle relative au logiciel sous licence.</w:t>
      </w:r>
    </w:p>
    <w:p w:rsidR="00853C20" w:rsidRPr="00E14A13" w:rsidRDefault="00853C20" w:rsidP="00853C20">
      <w:pPr>
        <w:ind w:left="717"/>
      </w:pPr>
      <w:r>
        <w:rPr>
          <w:b/>
        </w:rPr>
        <w:t>(ii)</w:t>
      </w:r>
      <w:r>
        <w:tab/>
      </w:r>
      <w:r>
        <w:rPr>
          <w:b/>
        </w:rPr>
        <w:t>Limitation de responsabilité</w:t>
      </w:r>
      <w:r>
        <w:t>. En cas de faute intentionnelle, de faute lourde, de réclamation fondée sur la responsabilité du fait des produits défectueux, ou de faute entraînant un décès ou des préjudices corporels ou matériels, Microsoft sera tenue légalement responsable.</w:t>
      </w:r>
    </w:p>
    <w:p w:rsidR="00853C20" w:rsidRPr="00E14A13" w:rsidRDefault="00853C20" w:rsidP="00853C20">
      <w:pPr>
        <w:pStyle w:val="Heading1"/>
        <w:numPr>
          <w:ilvl w:val="0"/>
          <w:numId w:val="0"/>
        </w:numPr>
        <w:ind w:left="717"/>
        <w:rPr>
          <w:b w:val="0"/>
        </w:rPr>
      </w:pPr>
      <w:r>
        <w:rPr>
          <w:b w:val="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rsidR="008113AA" w:rsidRPr="003807C8" w:rsidRDefault="009A7A15" w:rsidP="00FF4AE5">
      <w:pPr>
        <w:pStyle w:val="Heading1"/>
        <w:tabs>
          <w:tab w:val="clear" w:pos="810"/>
          <w:tab w:val="num" w:pos="450"/>
        </w:tabs>
        <w:ind w:left="447"/>
        <w:rPr>
          <w:rFonts w:eastAsia="SimSun"/>
          <w:caps/>
          <w:sz w:val="20"/>
          <w:szCs w:val="20"/>
        </w:rPr>
      </w:pPr>
      <w:r>
        <w:rPr>
          <w:caps/>
          <w:sz w:val="20"/>
          <w:szCs w:val="20"/>
        </w:rPr>
        <w:t>Exclusions de garantie.</w:t>
      </w:r>
      <w:r>
        <w:rPr>
          <w:sz w:val="20"/>
          <w:szCs w:val="20"/>
        </w:rPr>
        <w:t xml:space="preserve"> </w:t>
      </w:r>
      <w:r>
        <w:rPr>
          <w:caps/>
          <w:sz w:val="20"/>
          <w:szCs w:val="20"/>
        </w:rPr>
        <w:t>Le logiciel est concédé sous licence « en l’état ». Vous assumez tous les risques liés à son utilisation. Microsoft n’accorde aucune garantie ou condition expresse. Dans la mesure permise par la législation locale, Microsoft exclut les garanties implicites de qualité, d’adéquation à un usage particulier et d’absence de violation.</w:t>
      </w:r>
    </w:p>
    <w:p w:rsidR="008113AA" w:rsidRPr="00DC582F" w:rsidRDefault="009A7A15" w:rsidP="00FF4AE5">
      <w:pPr>
        <w:pStyle w:val="Heading1"/>
        <w:tabs>
          <w:tab w:val="clear" w:pos="810"/>
          <w:tab w:val="num" w:pos="450"/>
        </w:tabs>
        <w:ind w:left="447"/>
        <w:rPr>
          <w:rFonts w:eastAsia="SimSun"/>
          <w:caps/>
          <w:sz w:val="20"/>
          <w:szCs w:val="20"/>
        </w:rPr>
      </w:pPr>
      <w:r>
        <w:rPr>
          <w:caps/>
          <w:sz w:val="20"/>
          <w:szCs w:val="20"/>
        </w:rPr>
        <w:t>Limitation et exclusion de responsabilité en cas de dommages. Vous ne pouvez obtenir de Microsoft et de ses fournisseurs qu’une indemnité limitée à 5,00 USD en cas de dommages directs. Vous ne pouvez prétendre à aucune indemnisation pour les autres dommages, y compris les dommages spéciaux, indirects ou incidents et les pertes de bénéfices.</w:t>
      </w:r>
    </w:p>
    <w:p w:rsidR="008113AA" w:rsidRPr="00DC582F" w:rsidRDefault="009A7A15" w:rsidP="00FF4AE5">
      <w:pPr>
        <w:pStyle w:val="Body1"/>
        <w:widowControl w:val="0"/>
        <w:ind w:left="450" w:firstLine="3"/>
        <w:rPr>
          <w:rFonts w:eastAsia="SimSun"/>
          <w:sz w:val="20"/>
          <w:szCs w:val="20"/>
        </w:rPr>
      </w:pPr>
      <w:r>
        <w:rPr>
          <w:sz w:val="20"/>
          <w:szCs w:val="20"/>
        </w:rP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rsidR="008113AA" w:rsidRDefault="009A7A15" w:rsidP="00FF4AE5">
      <w:pPr>
        <w:widowControl w:val="0"/>
        <w:ind w:left="450"/>
        <w:rPr>
          <w:rFonts w:eastAsia="SimSun"/>
          <w:sz w:val="20"/>
          <w:szCs w:val="20"/>
        </w:rPr>
      </w:pPr>
      <w:r>
        <w:rPr>
          <w:sz w:val="20"/>
          <w:szCs w:val="20"/>
        </w:rPr>
        <w:t>Elle s’applique également même si Microsoft avait ou aurait dû avoir connaissance de l’éventualité de tels dommages. La limitation ou l’exclusion ci-dessus peut également ne pas vous être applicable si votre pays n’autorise pas l’exclusion ou la limitation de responsabilité pour les dommages incidents, indirects ou de quelque nature que ce soit.</w:t>
      </w:r>
    </w:p>
    <w:p w:rsidR="00217E29" w:rsidRDefault="00217E29" w:rsidP="00FF4AE5">
      <w:pPr>
        <w:widowControl w:val="0"/>
        <w:ind w:left="450"/>
        <w:rPr>
          <w:rFonts w:eastAsia="SimSun"/>
          <w:sz w:val="20"/>
          <w:szCs w:val="20"/>
        </w:rPr>
      </w:pPr>
    </w:p>
    <w:p w:rsidR="00217E29" w:rsidRDefault="00217E29" w:rsidP="00217E29">
      <w:pPr>
        <w:spacing w:before="0" w:after="160"/>
        <w:ind w:firstLine="360"/>
      </w:pPr>
      <w:r>
        <w:rPr>
          <w:color w:val="000000"/>
        </w:rPr>
        <w:t xml:space="preserve">  EULAID : </w:t>
      </w:r>
      <w:r>
        <w:t>VS2017_RTW.2_VSEXPRESS_</w:t>
      </w:r>
      <w:r w:rsidR="00EE5995">
        <w:t>FRA</w:t>
      </w:r>
      <w:bookmarkStart w:id="0" w:name="_GoBack"/>
      <w:bookmarkEnd w:id="0"/>
      <w:r>
        <w:rPr>
          <w:color w:val="1F3864"/>
        </w:rPr>
        <w:t xml:space="preserve"> </w:t>
      </w:r>
      <w:r>
        <w:rPr>
          <w:rFonts w:ascii="Candara" w:hAnsi="Candara"/>
          <w:color w:val="1F3864"/>
          <w:sz w:val="24"/>
          <w:szCs w:val="24"/>
        </w:rPr>
        <w:t> </w:t>
      </w:r>
    </w:p>
    <w:p w:rsidR="00217E29" w:rsidRDefault="00217E29" w:rsidP="00FF4AE5">
      <w:pPr>
        <w:widowControl w:val="0"/>
        <w:ind w:left="450"/>
        <w:rPr>
          <w:rFonts w:eastAsia="SimSun"/>
          <w:sz w:val="20"/>
          <w:szCs w:val="20"/>
        </w:rPr>
      </w:pPr>
    </w:p>
    <w:sectPr w:rsidR="00217E29"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79" w:rsidRDefault="00D45779">
      <w:pPr>
        <w:rPr>
          <w:rFonts w:cs="Times New Roman"/>
        </w:rPr>
      </w:pPr>
      <w:r>
        <w:rPr>
          <w:rFonts w:cs="Times New Roman"/>
        </w:rPr>
        <w:separator/>
      </w:r>
    </w:p>
  </w:endnote>
  <w:endnote w:type="continuationSeparator" w:id="0">
    <w:p w:rsidR="00D45779" w:rsidRDefault="00D45779">
      <w:pPr>
        <w:rPr>
          <w:rFonts w:cs="Times New Roman"/>
        </w:rPr>
      </w:pPr>
      <w:r>
        <w:rPr>
          <w:rFonts w:cs="Times New Roman"/>
        </w:rPr>
        <w:continuationSeparator/>
      </w:r>
    </w:p>
  </w:endnote>
  <w:endnote w:type="continuationNotice" w:id="1">
    <w:p w:rsidR="00D45779" w:rsidRDefault="00D457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79" w:rsidRDefault="00D45779">
      <w:pPr>
        <w:rPr>
          <w:rFonts w:cs="Times New Roman"/>
        </w:rPr>
      </w:pPr>
      <w:r>
        <w:rPr>
          <w:rFonts w:cs="Times New Roman"/>
        </w:rPr>
        <w:separator/>
      </w:r>
    </w:p>
  </w:footnote>
  <w:footnote w:type="continuationSeparator" w:id="0">
    <w:p w:rsidR="00D45779" w:rsidRDefault="00D45779">
      <w:pPr>
        <w:rPr>
          <w:rFonts w:cs="Times New Roman"/>
        </w:rPr>
      </w:pPr>
      <w:r>
        <w:rPr>
          <w:rFonts w:cs="Times New Roman"/>
        </w:rPr>
        <w:continuationSeparator/>
      </w:r>
    </w:p>
  </w:footnote>
  <w:footnote w:type="continuationNotice" w:id="1">
    <w:p w:rsidR="00D45779" w:rsidRDefault="00D457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FD88DB7A"/>
    <w:lvl w:ilvl="0" w:tplc="FFFFFFFF">
      <w:start w:val="1"/>
      <w:numFmt w:val="bullet"/>
      <w:pStyle w:val="Bullet4"/>
      <w:lvlText w:val=""/>
      <w:lvlJc w:val="left"/>
      <w:pPr>
        <w:tabs>
          <w:tab w:val="num" w:pos="1170"/>
        </w:tabs>
        <w:ind w:left="1168"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1"/>
  </w:num>
  <w:num w:numId="2">
    <w:abstractNumId w:val="3"/>
  </w:num>
  <w:num w:numId="3">
    <w:abstractNumId w:val="8"/>
  </w:num>
  <w:num w:numId="4">
    <w:abstractNumId w:val="7"/>
  </w:num>
  <w:num w:numId="5">
    <w:abstractNumId w:val="9"/>
  </w:num>
  <w:num w:numId="6">
    <w:abstractNumId w:val="10"/>
  </w:num>
  <w:num w:numId="7">
    <w:abstractNumId w:val="6"/>
  </w:num>
  <w:num w:numId="8">
    <w:abstractNumId w:val="5"/>
  </w:num>
  <w:num w:numId="9">
    <w:abstractNumId w:val="0"/>
  </w:num>
  <w:num w:numId="10">
    <w:abstractNumId w:val="2"/>
  </w:num>
  <w:num w:numId="11">
    <w:abstractNumId w:val="1"/>
  </w:num>
  <w:num w:numId="12">
    <w:abstractNumId w:val="4"/>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113AA"/>
    <w:rsid w:val="000073D2"/>
    <w:rsid w:val="00012C06"/>
    <w:rsid w:val="000263F1"/>
    <w:rsid w:val="00031BF9"/>
    <w:rsid w:val="000345BB"/>
    <w:rsid w:val="000552D0"/>
    <w:rsid w:val="00064E2E"/>
    <w:rsid w:val="0009229E"/>
    <w:rsid w:val="000B56EF"/>
    <w:rsid w:val="000B71E5"/>
    <w:rsid w:val="000C0F25"/>
    <w:rsid w:val="000C180E"/>
    <w:rsid w:val="000C4F16"/>
    <w:rsid w:val="000C751A"/>
    <w:rsid w:val="000D17FA"/>
    <w:rsid w:val="001142D7"/>
    <w:rsid w:val="0011594A"/>
    <w:rsid w:val="001239DC"/>
    <w:rsid w:val="00146601"/>
    <w:rsid w:val="00166154"/>
    <w:rsid w:val="00167678"/>
    <w:rsid w:val="00187337"/>
    <w:rsid w:val="00192FFA"/>
    <w:rsid w:val="0019306D"/>
    <w:rsid w:val="001B4E80"/>
    <w:rsid w:val="001B7DF9"/>
    <w:rsid w:val="001D3C9B"/>
    <w:rsid w:val="001E2F72"/>
    <w:rsid w:val="001F0BCB"/>
    <w:rsid w:val="001F5B04"/>
    <w:rsid w:val="00202EF2"/>
    <w:rsid w:val="00217A4A"/>
    <w:rsid w:val="00217E29"/>
    <w:rsid w:val="00236BF0"/>
    <w:rsid w:val="0027286B"/>
    <w:rsid w:val="0027437B"/>
    <w:rsid w:val="0029649D"/>
    <w:rsid w:val="002B6D18"/>
    <w:rsid w:val="002C32BE"/>
    <w:rsid w:val="00303C90"/>
    <w:rsid w:val="003051A3"/>
    <w:rsid w:val="00322B1C"/>
    <w:rsid w:val="00325798"/>
    <w:rsid w:val="00334A0B"/>
    <w:rsid w:val="00357088"/>
    <w:rsid w:val="00365B76"/>
    <w:rsid w:val="00375046"/>
    <w:rsid w:val="003807C8"/>
    <w:rsid w:val="00386BEC"/>
    <w:rsid w:val="003A0255"/>
    <w:rsid w:val="003A191E"/>
    <w:rsid w:val="003B0D0C"/>
    <w:rsid w:val="0041289D"/>
    <w:rsid w:val="00417C8B"/>
    <w:rsid w:val="00425431"/>
    <w:rsid w:val="004838CC"/>
    <w:rsid w:val="004B60A8"/>
    <w:rsid w:val="004D2A76"/>
    <w:rsid w:val="005125FA"/>
    <w:rsid w:val="005137FF"/>
    <w:rsid w:val="00583420"/>
    <w:rsid w:val="00596398"/>
    <w:rsid w:val="005A04EE"/>
    <w:rsid w:val="005A2010"/>
    <w:rsid w:val="005A6956"/>
    <w:rsid w:val="005C5373"/>
    <w:rsid w:val="005D0983"/>
    <w:rsid w:val="005D6CBC"/>
    <w:rsid w:val="005E64EC"/>
    <w:rsid w:val="006320D3"/>
    <w:rsid w:val="00640797"/>
    <w:rsid w:val="00645AED"/>
    <w:rsid w:val="0064695A"/>
    <w:rsid w:val="00652D03"/>
    <w:rsid w:val="0065335A"/>
    <w:rsid w:val="006B3871"/>
    <w:rsid w:val="006B58A5"/>
    <w:rsid w:val="006C30E2"/>
    <w:rsid w:val="006E4093"/>
    <w:rsid w:val="006F0F1C"/>
    <w:rsid w:val="007036AF"/>
    <w:rsid w:val="00706849"/>
    <w:rsid w:val="0071197D"/>
    <w:rsid w:val="007241CD"/>
    <w:rsid w:val="00731553"/>
    <w:rsid w:val="0073775E"/>
    <w:rsid w:val="007424B2"/>
    <w:rsid w:val="00752D77"/>
    <w:rsid w:val="00753B32"/>
    <w:rsid w:val="007557B8"/>
    <w:rsid w:val="007606C1"/>
    <w:rsid w:val="007651A9"/>
    <w:rsid w:val="00780718"/>
    <w:rsid w:val="00781642"/>
    <w:rsid w:val="007869AA"/>
    <w:rsid w:val="007A1B5B"/>
    <w:rsid w:val="007C22B7"/>
    <w:rsid w:val="007D538D"/>
    <w:rsid w:val="008113AA"/>
    <w:rsid w:val="00814E6E"/>
    <w:rsid w:val="00853C20"/>
    <w:rsid w:val="008602E2"/>
    <w:rsid w:val="008634FD"/>
    <w:rsid w:val="008650AE"/>
    <w:rsid w:val="008B3CC8"/>
    <w:rsid w:val="008D43AA"/>
    <w:rsid w:val="008E0465"/>
    <w:rsid w:val="008E7E47"/>
    <w:rsid w:val="00936226"/>
    <w:rsid w:val="0097287C"/>
    <w:rsid w:val="009769B6"/>
    <w:rsid w:val="0098154B"/>
    <w:rsid w:val="009A7A15"/>
    <w:rsid w:val="009C5DC1"/>
    <w:rsid w:val="00A16F91"/>
    <w:rsid w:val="00A23E0A"/>
    <w:rsid w:val="00A333A7"/>
    <w:rsid w:val="00A75156"/>
    <w:rsid w:val="00A8451A"/>
    <w:rsid w:val="00A920A1"/>
    <w:rsid w:val="00AB0EF0"/>
    <w:rsid w:val="00AC6E1F"/>
    <w:rsid w:val="00AD3FA5"/>
    <w:rsid w:val="00AD7B4D"/>
    <w:rsid w:val="00AE4E5D"/>
    <w:rsid w:val="00B10D0B"/>
    <w:rsid w:val="00B171C1"/>
    <w:rsid w:val="00B212A3"/>
    <w:rsid w:val="00B248EB"/>
    <w:rsid w:val="00B27648"/>
    <w:rsid w:val="00B63B53"/>
    <w:rsid w:val="00B6793C"/>
    <w:rsid w:val="00B85B59"/>
    <w:rsid w:val="00B862E9"/>
    <w:rsid w:val="00BC010C"/>
    <w:rsid w:val="00BD648E"/>
    <w:rsid w:val="00BE609E"/>
    <w:rsid w:val="00BF4C6A"/>
    <w:rsid w:val="00C020DD"/>
    <w:rsid w:val="00C06DFF"/>
    <w:rsid w:val="00C23EB4"/>
    <w:rsid w:val="00C42026"/>
    <w:rsid w:val="00C618A3"/>
    <w:rsid w:val="00C618CC"/>
    <w:rsid w:val="00C703AC"/>
    <w:rsid w:val="00C95C5C"/>
    <w:rsid w:val="00CA4130"/>
    <w:rsid w:val="00CE294C"/>
    <w:rsid w:val="00CE40C8"/>
    <w:rsid w:val="00CF225F"/>
    <w:rsid w:val="00CF2973"/>
    <w:rsid w:val="00D12EA1"/>
    <w:rsid w:val="00D308DB"/>
    <w:rsid w:val="00D45779"/>
    <w:rsid w:val="00D84062"/>
    <w:rsid w:val="00D9209F"/>
    <w:rsid w:val="00DA3F76"/>
    <w:rsid w:val="00DC582F"/>
    <w:rsid w:val="00E02845"/>
    <w:rsid w:val="00E12EE0"/>
    <w:rsid w:val="00E14A13"/>
    <w:rsid w:val="00E258E2"/>
    <w:rsid w:val="00E25FF6"/>
    <w:rsid w:val="00E26362"/>
    <w:rsid w:val="00E4050A"/>
    <w:rsid w:val="00E41D76"/>
    <w:rsid w:val="00E45DB9"/>
    <w:rsid w:val="00E50423"/>
    <w:rsid w:val="00E57AEA"/>
    <w:rsid w:val="00E603F9"/>
    <w:rsid w:val="00E74C07"/>
    <w:rsid w:val="00E81F8A"/>
    <w:rsid w:val="00E92598"/>
    <w:rsid w:val="00E94B45"/>
    <w:rsid w:val="00EE1666"/>
    <w:rsid w:val="00EE5995"/>
    <w:rsid w:val="00F01A36"/>
    <w:rsid w:val="00F14A81"/>
    <w:rsid w:val="00F1738C"/>
    <w:rsid w:val="00F31717"/>
    <w:rsid w:val="00F31A21"/>
    <w:rsid w:val="00F353FC"/>
    <w:rsid w:val="00F3654D"/>
    <w:rsid w:val="00F371B9"/>
    <w:rsid w:val="00F72057"/>
    <w:rsid w:val="00F9625D"/>
    <w:rsid w:val="00FA18A8"/>
    <w:rsid w:val="00FC0DE1"/>
    <w:rsid w:val="00FC5E76"/>
    <w:rsid w:val="00FC6B18"/>
    <w:rsid w:val="00FD2F73"/>
    <w:rsid w:val="00FE67BA"/>
    <w:rsid w:val="00FE73B6"/>
    <w:rsid w:val="00FF1526"/>
    <w:rsid w:val="00FF4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258F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fr-FR" w:eastAsia="en-US"/>
    </w:rPr>
  </w:style>
  <w:style w:type="character" w:customStyle="1" w:styleId="Body3Char">
    <w:name w:val="Body 3 Char"/>
    <w:basedOn w:val="DefaultParagraphFont"/>
    <w:uiPriority w:val="99"/>
    <w:rPr>
      <w:rFonts w:ascii="Tahoma" w:hAnsi="Tahoma" w:cs="Tahoma"/>
      <w:lang w:val="fr-FR" w:eastAsia="en-US"/>
    </w:rPr>
  </w:style>
  <w:style w:type="character" w:customStyle="1" w:styleId="Body4Char">
    <w:name w:val="Body 4 Char"/>
    <w:basedOn w:val="DefaultParagraphFont"/>
    <w:uiPriority w:val="99"/>
    <w:rPr>
      <w:rFonts w:ascii="Tahoma" w:hAnsi="Tahoma" w:cs="Tahoma"/>
      <w:lang w:val="fr-FR" w:eastAsia="en-US"/>
    </w:rPr>
  </w:style>
  <w:style w:type="character" w:customStyle="1" w:styleId="Body1Char">
    <w:name w:val="Body 1 Char"/>
    <w:basedOn w:val="DefaultParagraphFont"/>
    <w:uiPriority w:val="99"/>
    <w:rPr>
      <w:rFonts w:ascii="Tahoma" w:hAnsi="Tahoma" w:cs="Tahoma"/>
      <w:lang w:val="fr-FR"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fr-FR"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17661">
      <w:marLeft w:val="0"/>
      <w:marRight w:val="0"/>
      <w:marTop w:val="0"/>
      <w:marBottom w:val="0"/>
      <w:divBdr>
        <w:top w:val="none" w:sz="0" w:space="0" w:color="auto"/>
        <w:left w:val="none" w:sz="0" w:space="0" w:color="auto"/>
        <w:bottom w:val="none" w:sz="0" w:space="0" w:color="auto"/>
        <w:right w:val="none" w:sz="0" w:space="0" w:color="auto"/>
      </w:divBdr>
    </w:div>
    <w:div w:id="2130317662">
      <w:marLeft w:val="0"/>
      <w:marRight w:val="0"/>
      <w:marTop w:val="0"/>
      <w:marBottom w:val="0"/>
      <w:divBdr>
        <w:top w:val="none" w:sz="0" w:space="0" w:color="auto"/>
        <w:left w:val="none" w:sz="0" w:space="0" w:color="auto"/>
        <w:bottom w:val="none" w:sz="0" w:space="0" w:color="auto"/>
        <w:right w:val="none" w:sz="0" w:space="0" w:color="auto"/>
      </w:divBdr>
    </w:div>
    <w:div w:id="2130317663">
      <w:marLeft w:val="0"/>
      <w:marRight w:val="0"/>
      <w:marTop w:val="0"/>
      <w:marBottom w:val="0"/>
      <w:divBdr>
        <w:top w:val="none" w:sz="0" w:space="0" w:color="auto"/>
        <w:left w:val="none" w:sz="0" w:space="0" w:color="auto"/>
        <w:bottom w:val="none" w:sz="0" w:space="0" w:color="auto"/>
        <w:right w:val="none" w:sz="0" w:space="0" w:color="auto"/>
      </w:divBdr>
    </w:div>
    <w:div w:id="2130317664">
      <w:marLeft w:val="0"/>
      <w:marRight w:val="0"/>
      <w:marTop w:val="0"/>
      <w:marBottom w:val="0"/>
      <w:divBdr>
        <w:top w:val="none" w:sz="0" w:space="0" w:color="auto"/>
        <w:left w:val="none" w:sz="0" w:space="0" w:color="auto"/>
        <w:bottom w:val="none" w:sz="0" w:space="0" w:color="auto"/>
        <w:right w:val="none" w:sz="0" w:space="0" w:color="auto"/>
      </w:divBdr>
    </w:div>
    <w:div w:id="2130317665">
      <w:marLeft w:val="0"/>
      <w:marRight w:val="0"/>
      <w:marTop w:val="0"/>
      <w:marBottom w:val="0"/>
      <w:divBdr>
        <w:top w:val="none" w:sz="0" w:space="0" w:color="auto"/>
        <w:left w:val="none" w:sz="0" w:space="0" w:color="auto"/>
        <w:bottom w:val="none" w:sz="0" w:space="0" w:color="auto"/>
        <w:right w:val="none" w:sz="0" w:space="0" w:color="auto"/>
      </w:divBdr>
    </w:div>
    <w:div w:id="2130317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linkid=98407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o.microsoft.com/fwlink/?LinkID=824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3" ma:contentTypeDescription="Create a new document." ma:contentTypeScope="" ma:versionID="07ad514620533c6dd0c59d28180e37a0">
  <xsd:schema xmlns:xsd="http://www.w3.org/2001/XMLSchema" xmlns:xs="http://www.w3.org/2001/XMLSchema" xmlns:p="http://schemas.microsoft.com/office/2006/metadata/properties" xmlns:ns2="d73a72ad-5568-4a1f-86bd-5f6f8abe423d" targetNamespace="http://schemas.microsoft.com/office/2006/metadata/properties" ma:root="true" ma:fieldsID="96fbae368b02226faf46524ef7edbd4b" ns2:_="">
    <xsd:import namespace="d73a72ad-5568-4a1f-86bd-5f6f8abe423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00E-461E-4CA6-8E34-738B3DD0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4F24-7733-4F47-9DB5-5E85E6220826}">
  <ds:schemaRefs>
    <ds:schemaRef ds:uri="http://schemas.microsoft.com/sharepoint/v3/contenttype/forms"/>
  </ds:schemaRefs>
</ds:datastoreItem>
</file>

<file path=customXml/itemProps3.xml><?xml version="1.0" encoding="utf-8"?>
<ds:datastoreItem xmlns:ds="http://schemas.openxmlformats.org/officeDocument/2006/customXml" ds:itemID="{65D2CE89-1065-4023-8B74-3403161446A8}">
  <ds:schemaRefs>
    <ds:schemaRef ds:uri="d73a72ad-5568-4a1f-86bd-5f6f8abe423d"/>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2F821C0-F9B4-4357-9A0E-ABE560FAB3C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35736</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4</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2018-03-02T01:39:00Z</dcterms:created>
  <dcterms:modified xsi:type="dcterms:W3CDTF">2018-03-21T14:48:00Z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_dlc_DocIdItemGuid">
    <vt:lpwstr>72ff9228-987d-44ca-aaac-f1a922349c47</vt:lpwstr>
  </property>
  <property fmtid="{D5CDD505-2E9C-101B-9397-08002B2CF9AE}" pid="4" name="DocVizMetadataToken">
    <vt:lpwstr>270x350x2</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Ref">
    <vt:lpwstr>https://api.informationprotection.azure.com/api/72f988bf-86f1-41af-91ab-2d7cd011db47</vt:lpwstr>
  </property>
  <property fmtid="{D5CDD505-2E9C-101B-9397-08002B2CF9AE}" pid="8" name="MSIP_Label_f42aa342-8706-4288-bd11-ebb85995028c_Owner">
    <vt:lpwstr>kathan@microsoft.com</vt:lpwstr>
  </property>
  <property fmtid="{D5CDD505-2E9C-101B-9397-08002B2CF9AE}" pid="9" name="MSIP_Label_f42aa342-8706-4288-bd11-ebb85995028c_SetDate">
    <vt:lpwstr>2017-10-16T14:37:57.8935124-07:00</vt:lpwstr>
  </property>
  <property fmtid="{D5CDD505-2E9C-101B-9397-08002B2CF9AE}" pid="10" name="MSIP_Label_f42aa342-8706-4288-bd11-ebb85995028c_Name">
    <vt:lpwstr>General</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