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47" w:rsidRDefault="008E7E47">
      <w:pPr>
        <w:pStyle w:val="HeadingEULA"/>
        <w:widowControl w:val="0"/>
        <w:rPr>
          <w:rFonts w:eastAsia="SimSun"/>
          <w:sz w:val="20"/>
          <w:szCs w:val="20"/>
        </w:rPr>
      </w:pPr>
    </w:p>
    <w:p w:rsidR="008113AA" w:rsidRPr="00E45DB9" w:rsidRDefault="009A7A15">
      <w:pPr>
        <w:pStyle w:val="HeadingEULA"/>
        <w:widowControl w:val="0"/>
        <w:rPr>
          <w:rFonts w:eastAsia="SimSun"/>
          <w:sz w:val="19"/>
          <w:szCs w:val="19"/>
        </w:rPr>
      </w:pPr>
      <w:r>
        <w:rPr>
          <w:sz w:val="19"/>
          <w:szCs w:val="19"/>
        </w:rPr>
        <w:t>TERMOS DE LICENÇA PARA SOFTWARE MICROSOFT</w:t>
      </w:r>
    </w:p>
    <w:p w:rsidR="008E7E47" w:rsidRPr="00E45DB9" w:rsidRDefault="009A7A15" w:rsidP="008E7E47">
      <w:pPr>
        <w:pStyle w:val="HeadingSoftwareTitle"/>
        <w:widowControl w:val="0"/>
        <w:rPr>
          <w:rFonts w:eastAsia="SimSun"/>
          <w:sz w:val="19"/>
          <w:szCs w:val="19"/>
        </w:rPr>
      </w:pPr>
      <w:r>
        <w:rPr>
          <w:sz w:val="19"/>
          <w:szCs w:val="19"/>
        </w:rPr>
        <w:t>MICROSOFT VISUAL STUDIO 2017 EXPRESS PARA WINDOWS DESKTOP</w:t>
      </w:r>
    </w:p>
    <w:p w:rsidR="008113AA" w:rsidRPr="00E45DB9" w:rsidRDefault="009A7A15" w:rsidP="008B3CC8">
      <w:pPr>
        <w:pStyle w:val="Preamble"/>
        <w:widowControl w:val="0"/>
        <w:rPr>
          <w:rFonts w:eastAsia="SimSun"/>
        </w:rPr>
      </w:pPr>
      <w:r>
        <w:rPr>
          <w:b w:val="0"/>
          <w:bCs w:val="0"/>
        </w:rPr>
        <w:t xml:space="preserve">Estes termos de licença formam um contrato firmado entre a Microsoft Corporation (ou com base no seu país de residência, uma de suas afiliadas) e você. Eles se aplicam ao software indicado acima.  Os termos também se aplicam a quaisquer serviços ou atualizações da Microsoft para o software, exceto até a extensão de que eles tenham termos diferentes. </w:t>
      </w:r>
    </w:p>
    <w:p w:rsidR="008113AA" w:rsidRPr="00E45DB9" w:rsidRDefault="009A7A15">
      <w:pPr>
        <w:pStyle w:val="PreambleBorderAbove"/>
        <w:widowControl w:val="0"/>
        <w:rPr>
          <w:rFonts w:eastAsia="SimSun"/>
        </w:rPr>
      </w:pPr>
      <w:r>
        <w:t>SE VOCÊ CONCORDAR COM ESTES TERMOS DE LICENÇA, TERÁ OS DIREITOS INDICADOS ABAIXO.</w:t>
      </w:r>
    </w:p>
    <w:p w:rsidR="008113AA" w:rsidRPr="00E45DB9" w:rsidRDefault="009A7A15" w:rsidP="00146601">
      <w:pPr>
        <w:pStyle w:val="Heading1"/>
        <w:tabs>
          <w:tab w:val="clear" w:pos="810"/>
          <w:tab w:val="num" w:pos="450"/>
        </w:tabs>
        <w:ind w:left="447"/>
      </w:pPr>
      <w:r>
        <w:t xml:space="preserve">DIREITOS DE INSTALAÇÃO E USO. </w:t>
      </w:r>
    </w:p>
    <w:p w:rsidR="003A191E" w:rsidRPr="00DC582F" w:rsidRDefault="009A7A15" w:rsidP="00C06DFF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sz w:val="20"/>
          <w:szCs w:val="20"/>
        </w:rPr>
        <w:t>Instalação e Uso.</w:t>
      </w:r>
      <w:r>
        <w:rPr>
          <w:rStyle w:val="Body2Char"/>
          <w:b w:val="0"/>
          <w:bCs w:val="0"/>
          <w:sz w:val="20"/>
          <w:szCs w:val="20"/>
        </w:rPr>
        <w:t xml:space="preserve"> Um usuário pode usar cópias do software para desenvolver e testar seus aplicativos.</w:t>
      </w:r>
    </w:p>
    <w:p w:rsidR="00DC582F" w:rsidRPr="00DC582F" w:rsidRDefault="00DC582F" w:rsidP="00E02845">
      <w:pPr>
        <w:pStyle w:val="Heading2"/>
        <w:widowControl w:val="0"/>
        <w:tabs>
          <w:tab w:val="left" w:pos="5760"/>
        </w:tabs>
        <w:rPr>
          <w:rStyle w:val="Body2Char"/>
          <w:rFonts w:eastAsia="SimSun"/>
          <w:sz w:val="20"/>
          <w:szCs w:val="20"/>
        </w:rPr>
      </w:pPr>
      <w:r>
        <w:rPr>
          <w:bCs w:val="0"/>
          <w:sz w:val="20"/>
          <w:szCs w:val="20"/>
        </w:rPr>
        <w:t>Uso para Demonstração.</w:t>
      </w:r>
      <w:r>
        <w:rPr>
          <w:rStyle w:val="Body2Char"/>
          <w:sz w:val="20"/>
          <w:szCs w:val="20"/>
        </w:rPr>
        <w:t xml:space="preserve">  </w:t>
      </w:r>
      <w:r>
        <w:rPr>
          <w:rStyle w:val="Body2Char"/>
          <w:b w:val="0"/>
          <w:sz w:val="20"/>
          <w:szCs w:val="20"/>
        </w:rPr>
        <w:t>Os usos permitidos acima incluem o uso do software na demonstração dos seus aplicativos.</w:t>
      </w:r>
    </w:p>
    <w:p w:rsidR="00DC582F" w:rsidRPr="00DC582F" w:rsidRDefault="00DC582F" w:rsidP="00E02845">
      <w:pPr>
        <w:pStyle w:val="Heading2"/>
        <w:widowControl w:val="0"/>
        <w:tabs>
          <w:tab w:val="left" w:pos="5760"/>
        </w:tabs>
        <w:rPr>
          <w:rStyle w:val="Body2Char"/>
          <w:rFonts w:eastAsia="SimSun"/>
          <w:sz w:val="20"/>
          <w:szCs w:val="20"/>
        </w:rPr>
      </w:pPr>
      <w:r>
        <w:rPr>
          <w:rStyle w:val="Body2Char"/>
          <w:sz w:val="20"/>
          <w:szCs w:val="20"/>
        </w:rPr>
        <w:t>Cópia de Backup.</w:t>
      </w:r>
      <w:r>
        <w:rPr>
          <w:rStyle w:val="Body2Char"/>
          <w:b w:val="0"/>
          <w:sz w:val="20"/>
          <w:szCs w:val="20"/>
        </w:rPr>
        <w:t xml:space="preserve">  O cliente poderá fazer uma cópia de backup do software para reinstalá-lo.</w:t>
      </w:r>
    </w:p>
    <w:p w:rsidR="00DC582F" w:rsidRDefault="00DC582F" w:rsidP="00146601">
      <w:pPr>
        <w:pStyle w:val="Heading1"/>
        <w:tabs>
          <w:tab w:val="clear" w:pos="810"/>
          <w:tab w:val="num" w:pos="450"/>
        </w:tabs>
        <w:ind w:left="447"/>
      </w:pPr>
      <w:r>
        <w:t>TERMOS PARA COMPONENTES ESPECÍFICOS.</w:t>
      </w:r>
    </w:p>
    <w:p w:rsidR="003A191E" w:rsidRPr="00781642" w:rsidRDefault="009A7A15" w:rsidP="00E02845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sz w:val="20"/>
          <w:szCs w:val="20"/>
        </w:rPr>
        <w:t xml:space="preserve">Programas da Microsoft Incluídos. </w:t>
      </w:r>
      <w:r>
        <w:rPr>
          <w:b w:val="0"/>
          <w:bCs w:val="0"/>
          <w:sz w:val="20"/>
          <w:szCs w:val="20"/>
        </w:rPr>
        <w:t>O software contém outros programas da Microsoft. Os termos de licença desses programas serão aplicados ao uso que você fizer deles.</w:t>
      </w:r>
    </w:p>
    <w:p w:rsidR="008602E2" w:rsidRPr="000073D2" w:rsidRDefault="00781642" w:rsidP="000073D2">
      <w:pPr>
        <w:pStyle w:val="Heading2"/>
        <w:widowControl w:val="0"/>
        <w:tabs>
          <w:tab w:val="left" w:pos="5760"/>
        </w:tabs>
        <w:rPr>
          <w:rFonts w:eastAsia="SimSun"/>
          <w:sz w:val="20"/>
          <w:szCs w:val="20"/>
        </w:rPr>
      </w:pPr>
      <w:r>
        <w:rPr>
          <w:sz w:val="20"/>
          <w:szCs w:val="20"/>
        </w:rPr>
        <w:t xml:space="preserve">Componentes de terceiros.  </w:t>
      </w:r>
      <w:r>
        <w:rPr>
          <w:b w:val="0"/>
          <w:bCs w:val="0"/>
          <w:sz w:val="20"/>
          <w:szCs w:val="20"/>
        </w:rPr>
        <w:t xml:space="preserve">O software pode incluir componentes de terceiros com notificações legais separadas ou regidas por outros contratos, conforme descrito nos arquivos ThirdPartyNotices que acompanham o software.  </w:t>
      </w:r>
    </w:p>
    <w:p w:rsidR="00DC582F" w:rsidRPr="00334A0B" w:rsidRDefault="00DC582F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rPr>
          <w:sz w:val="20"/>
          <w:szCs w:val="20"/>
        </w:rPr>
        <w:t xml:space="preserve">Plataformas da Microsoft. </w:t>
      </w:r>
      <w:r>
        <w:rPr>
          <w:b w:val="0"/>
          <w:sz w:val="20"/>
          <w:szCs w:val="20"/>
        </w:rPr>
        <w:t>O software pode incluir componentes do Microsoft Windows; Microsoft Windows Server; Microsoft SQL Server; Microsoft Exchange; Microsoft Office e Microsoft SharePoint. Esses componentes são regidos por contratos separados e suas próprias políticas de suporte do produto, conforme descrito na pasta “Licenças” da Microsoft que acompanha o software, a menos que os termos de licença desses componentes também forem incluídos no diretório da instalação associada, estes termos de licença prevalecerão.</w:t>
      </w:r>
    </w:p>
    <w:p w:rsidR="006E4093" w:rsidRDefault="00DC582F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rPr>
          <w:sz w:val="20"/>
          <w:szCs w:val="20"/>
        </w:rPr>
        <w:t xml:space="preserve">Gerenciadores de Pacotes.  </w:t>
      </w:r>
      <w:r>
        <w:rPr>
          <w:b w:val="0"/>
          <w:sz w:val="20"/>
          <w:szCs w:val="20"/>
        </w:rPr>
        <w:t>O software inclui gerenciadores de pacote, como NuGet, que oferecem a opção de baixar outros pacotes de software da Microsoft e pacotes de software de terceiros a serem usados com seu aplicativo. Esses pacotes estão sujeitos às suas próprias licenças, e não a este contrato. A Microsoft não distribui, licencia nem fornece quaisquer garantias de qualquer um dos pacotes de terceiros.</w:t>
      </w:r>
    </w:p>
    <w:p w:rsidR="00DC582F" w:rsidRPr="00334A0B" w:rsidRDefault="00E4050A" w:rsidP="00146601">
      <w:pPr>
        <w:pStyle w:val="Heading2"/>
        <w:widowControl w:val="0"/>
        <w:tabs>
          <w:tab w:val="left" w:pos="5760"/>
        </w:tabs>
        <w:rPr>
          <w:rFonts w:eastAsia="SimSun"/>
          <w:b w:val="0"/>
          <w:sz w:val="20"/>
          <w:szCs w:val="20"/>
        </w:rPr>
      </w:pPr>
      <w:r>
        <w:t xml:space="preserve">Ferramentas de Compilação.   </w:t>
      </w:r>
      <w:r>
        <w:rPr>
          <w:b w:val="0"/>
        </w:rPr>
        <w:t>Você pode copiar e instalar arquivos do software em seus dispositivos de compilação, incluindo dispositivos físicos e máquinas virtuais ou contêineres nessas máquinas, sejam nas instalações ou em máquinas remotas que pertencem a você, hospedadas no Azure por você ou dedicadas exclusivamente ao seu uso (coletivamente, os “Dispositivos de Compilação”).  Você e outras pessoas da sua organização poderão usar esses arquivos em seus Dispositivos de Compilação exclusivamente para Compilação, Criação e Verificação dos seus aplicativos ou execução de testes de desempenho daqueles aplicativos como parte do processo de compilação.</w:t>
      </w:r>
      <w:r>
        <w:rPr>
          <w:b w:val="0"/>
          <w:bCs w:val="0"/>
        </w:rPr>
        <w:t xml:space="preserve">  Para fins de esclarecimento, “aplicativos” significa os aplicativos desenvolvidos por você e por outras pessoas em sua organização que são cada um licenciados para usar o software.</w:t>
      </w:r>
      <w:r>
        <w:rPr>
          <w:b w:val="0"/>
          <w:sz w:val="20"/>
          <w:szCs w:val="20"/>
        </w:rPr>
        <w:t xml:space="preserve">     </w:t>
      </w:r>
    </w:p>
    <w:p w:rsidR="008113AA" w:rsidRPr="00AC6E1F" w:rsidRDefault="00031BF9" w:rsidP="0014660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t xml:space="preserve">CÓDIGO DISTRIBUÍVEL. </w:t>
      </w:r>
      <w:r>
        <w:rPr>
          <w:b w:val="0"/>
        </w:rPr>
        <w:t>O software contém códigos que você poderá distribuir sem modificação nos aplicativos que desenvolver, caso cumpra os termos abaixo.  (Para esta Seção, o termo “distribuição” também significa a implantação de seus aplicativos para terceiros acessarem pela Internet.)</w:t>
      </w:r>
    </w:p>
    <w:p w:rsidR="008113AA" w:rsidRPr="00B85B59" w:rsidRDefault="00146601" w:rsidP="007C22B7">
      <w:pPr>
        <w:pStyle w:val="Heading2"/>
        <w:widowControl w:val="0"/>
        <w:rPr>
          <w:rFonts w:eastAsia="SimSun"/>
          <w:b w:val="0"/>
          <w:sz w:val="20"/>
          <w:szCs w:val="20"/>
        </w:rPr>
      </w:pPr>
      <w:r>
        <w:rPr>
          <w:bCs w:val="0"/>
          <w:sz w:val="20"/>
          <w:szCs w:val="20"/>
        </w:rPr>
        <w:t xml:space="preserve">Direitos de Distribuição. </w:t>
      </w:r>
      <w:r>
        <w:rPr>
          <w:rStyle w:val="Body3Char"/>
          <w:sz w:val="20"/>
          <w:szCs w:val="20"/>
        </w:rPr>
        <w:t xml:space="preserve"> </w:t>
      </w:r>
      <w:r>
        <w:rPr>
          <w:rStyle w:val="Body3Char"/>
          <w:b w:val="0"/>
          <w:sz w:val="20"/>
          <w:szCs w:val="20"/>
        </w:rPr>
        <w:t xml:space="preserve">O código e os arquivos de texto indicados abaixo constituem o </w:t>
      </w:r>
      <w:r>
        <w:rPr>
          <w:rStyle w:val="Body3Char"/>
          <w:b w:val="0"/>
          <w:sz w:val="20"/>
          <w:szCs w:val="20"/>
        </w:rPr>
        <w:lastRenderedPageBreak/>
        <w:t>“</w:t>
      </w:r>
      <w:r>
        <w:rPr>
          <w:rStyle w:val="Body3Char"/>
          <w:sz w:val="20"/>
          <w:szCs w:val="20"/>
        </w:rPr>
        <w:t>Código Distribuível”.</w:t>
      </w:r>
    </w:p>
    <w:p w:rsidR="00167678" w:rsidRDefault="00167678" w:rsidP="007424B2">
      <w:pPr>
        <w:pStyle w:val="Bullet4Underlined"/>
        <w:widowControl w:val="0"/>
        <w:numPr>
          <w:ilvl w:val="0"/>
          <w:numId w:val="4"/>
        </w:numPr>
        <w:tabs>
          <w:tab w:val="num" w:pos="1080"/>
        </w:tabs>
        <w:ind w:left="1080" w:hanging="360"/>
        <w:rPr>
          <w:rFonts w:eastAsia="SimSun"/>
          <w:sz w:val="20"/>
          <w:szCs w:val="20"/>
          <w:u w:val="none"/>
        </w:rPr>
      </w:pPr>
      <w:r>
        <w:rPr>
          <w:sz w:val="20"/>
          <w:szCs w:val="20"/>
        </w:rPr>
        <w:t>Arquivos REDIST.TXT.</w:t>
      </w:r>
      <w:r>
        <w:rPr>
          <w:sz w:val="20"/>
          <w:szCs w:val="20"/>
          <w:u w:val="none"/>
        </w:rPr>
        <w:t xml:space="preserve"> Você poderá copiar e distribuir a forma do código-objeto relacionada na lista REDIST, localizada em </w:t>
      </w:r>
      <w:hyperlink r:id="rId11" w:history="1">
        <w:r>
          <w:rPr>
            <w:rStyle w:val="Hyperlink"/>
          </w:rPr>
          <w:t>https://go.microsoft.com/fwlink/?LinkId=823098</w:t>
        </w:r>
      </w:hyperlink>
      <w:r>
        <w:rPr>
          <w:sz w:val="20"/>
          <w:szCs w:val="20"/>
          <w:u w:val="none"/>
        </w:rPr>
        <w:t>.</w:t>
      </w:r>
    </w:p>
    <w:p w:rsidR="006C30E2" w:rsidRPr="00334A0B" w:rsidRDefault="00E25FF6" w:rsidP="007424B2">
      <w:pPr>
        <w:pStyle w:val="Bullet4Underlined"/>
        <w:widowControl w:val="0"/>
        <w:numPr>
          <w:ilvl w:val="0"/>
          <w:numId w:val="4"/>
        </w:numPr>
        <w:tabs>
          <w:tab w:val="num" w:pos="1080"/>
        </w:tabs>
        <w:ind w:left="1080" w:hanging="360"/>
        <w:rPr>
          <w:rFonts w:eastAsia="SimSun"/>
          <w:sz w:val="20"/>
          <w:szCs w:val="20"/>
          <w:u w:val="none"/>
        </w:rPr>
      </w:pPr>
      <w:r>
        <w:t>Código de Exemplo, Modelos e Estilos.</w:t>
      </w:r>
      <w:r>
        <w:rPr>
          <w:u w:val="none"/>
        </w:rPr>
        <w:t xml:space="preserve"> Você poderá copiar, modificar e distribuir a forma de código-objeto e código-fonte do código identificado como “exemplo”, “modelo”, “estilos simples” ou “estilo de esboço”. </w:t>
      </w:r>
    </w:p>
    <w:p w:rsidR="008113AA" w:rsidRPr="0009229E" w:rsidRDefault="009A7A15" w:rsidP="007C22B7">
      <w:pPr>
        <w:pStyle w:val="Bullet4Underline"/>
        <w:widowControl w:val="0"/>
        <w:tabs>
          <w:tab w:val="num" w:pos="720"/>
        </w:tabs>
        <w:ind w:left="1080" w:hanging="360"/>
        <w:rPr>
          <w:rFonts w:eastAsia="SimSun"/>
          <w:sz w:val="20"/>
          <w:szCs w:val="20"/>
        </w:rPr>
      </w:pPr>
      <w:r>
        <w:rPr>
          <w:sz w:val="20"/>
          <w:szCs w:val="20"/>
        </w:rPr>
        <w:t>Distribuição por Terceiros.</w:t>
      </w:r>
      <w:r>
        <w:rPr>
          <w:sz w:val="20"/>
          <w:szCs w:val="20"/>
          <w:u w:val="none"/>
        </w:rPr>
        <w:t xml:space="preserve"> Você poderá permitir que os distribuidores dos seus aplicativos copiem e distribuam o Código Distribuível como parte desses aplicativos.</w:t>
      </w:r>
    </w:p>
    <w:p w:rsidR="008113AA" w:rsidRDefault="009A7A15">
      <w:pPr>
        <w:pStyle w:val="Heading3Bold"/>
        <w:widowControl w:val="0"/>
        <w:tabs>
          <w:tab w:val="clear" w:pos="1440"/>
          <w:tab w:val="num" w:pos="1077"/>
        </w:tabs>
        <w:rPr>
          <w:rFonts w:eastAsia="SimSun"/>
          <w:sz w:val="20"/>
          <w:szCs w:val="20"/>
        </w:rPr>
      </w:pPr>
      <w:r>
        <w:rPr>
          <w:sz w:val="20"/>
          <w:szCs w:val="20"/>
        </w:rPr>
        <w:t>Requisitos para Distribuição.</w:t>
      </w:r>
      <w:r>
        <w:rPr>
          <w:rStyle w:val="Body3Char"/>
          <w:sz w:val="20"/>
          <w:szCs w:val="20"/>
        </w:rPr>
        <w:t xml:space="preserve"> </w:t>
      </w:r>
      <w:r>
        <w:rPr>
          <w:rStyle w:val="Body3Char"/>
          <w:b w:val="0"/>
          <w:sz w:val="20"/>
          <w:szCs w:val="20"/>
        </w:rPr>
        <w:t>Para qualquer Código Distribuível que você distribuir, será preciso:</w:t>
      </w:r>
    </w:p>
    <w:p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adicionar funcionalidades primárias significativas ao Código Distribuível em seus aplicativos;</w:t>
      </w:r>
    </w:p>
    <w:p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requerer que os distribuidores e usuários finais externos aceitem termos que protejam o Código Distribuível, pelo menos tanto quanto este contrato e</w:t>
      </w:r>
    </w:p>
    <w:p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indenizar, isentar de responsabilidades e defender a Microsoft de quaisquer reivindicações, incluindo honorários advocatícios, decorrentes do uso ou da distribuição de seus aplicativos, exceto até a extensão de que algum requerimento judicial ou extrajudicial se baseie exclusivamente no Código Distribuível.</w:t>
      </w:r>
    </w:p>
    <w:p w:rsidR="008113AA" w:rsidRDefault="009A7A15">
      <w:pPr>
        <w:pStyle w:val="Heading3Bold"/>
        <w:widowControl w:val="0"/>
        <w:tabs>
          <w:tab w:val="clear" w:pos="1440"/>
          <w:tab w:val="num" w:pos="1077"/>
        </w:tabs>
        <w:rPr>
          <w:rFonts w:eastAsia="SimSun"/>
          <w:sz w:val="20"/>
          <w:szCs w:val="20"/>
        </w:rPr>
      </w:pPr>
      <w:r>
        <w:rPr>
          <w:sz w:val="20"/>
          <w:szCs w:val="20"/>
        </w:rPr>
        <w:t>Restrições à Distribuição.</w:t>
      </w:r>
      <w:r>
        <w:rPr>
          <w:rStyle w:val="Body3Char"/>
          <w:sz w:val="20"/>
          <w:szCs w:val="20"/>
        </w:rPr>
        <w:t xml:space="preserve"> É vedado:</w:t>
      </w:r>
    </w:p>
    <w:p w:rsidR="008113AA" w:rsidRDefault="009A7A15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 xml:space="preserve">usar marcas comerciais da Microsoft nos nomes dos seus aplicativos ou de forma a indicar que seus aplicativos derivam da Microsoft ou são por ela avalizados ou </w:t>
      </w:r>
    </w:p>
    <w:p w:rsidR="008113AA" w:rsidRDefault="009A7A15" w:rsidP="00F72057">
      <w:pPr>
        <w:pStyle w:val="Bullet4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modificar ou distribuir o código-fonte de qualquer Código Distribuível de modo que qualquer parte do código fique sujeita a uma Licença Excluída. A Licença Excluída é aquela que exige, como condição de uso, modificação ou distribuição, que (i) o código seja divulgado ou distribuído na forma de código-fonte ou (ii) que outros tenham o direito de modificá-lo.</w:t>
      </w:r>
    </w:p>
    <w:p w:rsidR="001F5B04" w:rsidRDefault="0065335A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t>DADOS.</w:t>
      </w:r>
      <w:r>
        <w:rPr>
          <w:b w:val="0"/>
        </w:rPr>
        <w:t xml:space="preserve"> </w:t>
      </w:r>
    </w:p>
    <w:p w:rsidR="0009229E" w:rsidRDefault="00E41D76" w:rsidP="001F5B04">
      <w:pPr>
        <w:pStyle w:val="Heading2"/>
        <w:widowControl w:val="0"/>
        <w:rPr>
          <w:b w:val="0"/>
        </w:rPr>
      </w:pPr>
      <w:r>
        <w:t>Coleta de Dados.</w:t>
      </w:r>
      <w:r>
        <w:rPr>
          <w:b w:val="0"/>
        </w:rPr>
        <w:t xml:space="preserve"> O software pode coletar informações sobre você e o uso que você faz do software e as envia para a Microsoft. A Microsoft pode usar essas informações para fornecer serviços e aprimorar nossos produtos e serviços.  Você pode recusar muitos dos seus cenários, mas não todos, conforme descrito na documentação do produto.  Também há a</w:t>
      </w:r>
      <w:r>
        <w:rPr>
          <w:b w:val="0"/>
          <w:color w:val="000000"/>
        </w:rPr>
        <w:t>lguns recursos no software que podem permitir que você e a Microsoft coletem dados dos usuários de seus aplicativos</w:t>
      </w:r>
      <w:r>
        <w:rPr>
          <w:b w:val="0"/>
        </w:rPr>
        <w:t xml:space="preserve">. Se você usar esses recursos, deverá cumprir a lei aplicável, inclusive fornecendo notificações apropriadas aos usuários de seus aplicativos e deverá fornecer uma cópia da nossa política de privacidade para seus usuários. Nossa política de privacidade está localizada aqui </w:t>
      </w:r>
      <w:hyperlink r:id="rId12" w:history="1">
        <w:r>
          <w:rPr>
            <w:rStyle w:val="Hyperlink"/>
            <w:b w:val="0"/>
            <w:sz w:val="20"/>
            <w:szCs w:val="20"/>
          </w:rPr>
          <w:t>https://go.microsoft.com/fwlink/?LinkID=824704</w:t>
        </w:r>
      </w:hyperlink>
      <w:r>
        <w:rPr>
          <w:b w:val="0"/>
        </w:rPr>
        <w:t>. Você pode saber mais sobre a coleta de dados e o uso na documentação de ajuda e na nossa política de privacidade. Usar o software significa que você autoriza essas práticas.</w:t>
      </w:r>
    </w:p>
    <w:p w:rsidR="001F5B04" w:rsidRPr="00A920A1" w:rsidRDefault="001F5B04" w:rsidP="00CA4130">
      <w:pPr>
        <w:pStyle w:val="Heading2"/>
        <w:widowControl w:val="0"/>
        <w:rPr>
          <w:b w:val="0"/>
        </w:rPr>
      </w:pPr>
      <w:r>
        <w:t>Processamento de Dados Pessoais.</w:t>
      </w:r>
      <w:r>
        <w:rPr>
          <w:b w:val="0"/>
        </w:rPr>
        <w:t xml:space="preserve"> Visto que a Microsoft é uma processadora ou subprocessadora de dados pessoais relativos ao software, a Microsoft torna o compromisso assumido no Regulamento Geral sobre a Proteção de Dados da União Europeia dos Termos de Serviço Online vinculativo para todos os clientes a partir de 25 de maio de 2018, em </w:t>
      </w:r>
      <w:hyperlink r:id="rId13" w:history="1">
        <w:r>
          <w:rPr>
            <w:rStyle w:val="Hyperlink"/>
            <w:b w:val="0"/>
          </w:rPr>
          <w:t>http://go.microsoft.com/?linkid=9840733</w:t>
        </w:r>
      </w:hyperlink>
      <w:r>
        <w:rPr>
          <w:b w:val="0"/>
        </w:rPr>
        <w:t>.</w:t>
      </w:r>
    </w:p>
    <w:p w:rsidR="008113AA" w:rsidRPr="00A920A1" w:rsidRDefault="009A7A15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t xml:space="preserve">ESCOPO da LICENÇA. </w:t>
      </w:r>
      <w:r>
        <w:rPr>
          <w:b w:val="0"/>
        </w:rPr>
        <w:t xml:space="preserve">O software é licenciado, e não vendido. Este contrato concede a você apenas alguns direitos de uso do software. A Microsoft reserva para si todos os outros direitos. Salvo quando a lei aplicável conferir outros direitos, não obstante a presente limitação, você poderá usar o software apenas da maneira expressamente permitida neste contrato. Ao fazer isso, você deverá respeitar todas as limitações técnicas do software que permitam seu uso apenas de determinadas formas. Por exemplo, a Microsoft limitou ou desativou tecnicamente a extensibilidade do software. Dessa forma, você não pode estendê-lo, por exemplo, carregando ou injetando no software quaisquer complementos, macros ou pacotes que não sejam da Microsoft ou modificando as configurações do Registro do software nem </w:t>
      </w:r>
      <w:r>
        <w:rPr>
          <w:b w:val="0"/>
        </w:rPr>
        <w:lastRenderedPageBreak/>
        <w:t>mesmo adicionando recursos ou funcionalidade equivalente àqueles encontrados em outros produtos Visual Studio.</w:t>
      </w:r>
    </w:p>
    <w:p w:rsidR="00E94B45" w:rsidRPr="00F371B9" w:rsidRDefault="00F371B9" w:rsidP="00A920A1">
      <w:pPr>
        <w:pStyle w:val="Heading1"/>
        <w:widowControl w:val="0"/>
        <w:numPr>
          <w:ilvl w:val="0"/>
          <w:numId w:val="0"/>
        </w:numPr>
        <w:ind w:left="807" w:hanging="357"/>
        <w:rPr>
          <w:rFonts w:eastAsia="SimSun"/>
          <w:b w:val="0"/>
          <w:sz w:val="20"/>
          <w:szCs w:val="20"/>
        </w:rPr>
      </w:pPr>
      <w:r>
        <w:rPr>
          <w:b w:val="0"/>
          <w:sz w:val="20"/>
          <w:szCs w:val="20"/>
        </w:rPr>
        <w:t>Você também não pode</w:t>
      </w:r>
    </w:p>
    <w:p w:rsidR="008113AA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contornar quaisquer limitações técnicas do software;</w:t>
      </w:r>
    </w:p>
    <w:p w:rsidR="008113AA" w:rsidRPr="00C42026" w:rsidRDefault="009A7A15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 xml:space="preserve">fazer engenharia reversa, descompilar nem desmontar o software, nem tentar de outra forma gerar o código-fonte do software, exceto e até a extensão </w:t>
      </w:r>
      <w:r>
        <w:t>exigida pelos termos de licenciamento de terceiros que regem o uso de determinados componentes de software livre que podem ser incluídos no software;</w:t>
      </w:r>
    </w:p>
    <w:p w:rsidR="00F72057" w:rsidRPr="00C42026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t>remover, minimizar, bloquear ou modificar notificações da Microsoft ou de seus fornecedores no software;</w:t>
      </w:r>
    </w:p>
    <w:p w:rsidR="00F72057" w:rsidRDefault="00F72057">
      <w:pPr>
        <w:pStyle w:val="Bullet2"/>
        <w:widowControl w:val="0"/>
        <w:rPr>
          <w:rFonts w:eastAsia="SimSun"/>
          <w:sz w:val="20"/>
          <w:szCs w:val="20"/>
        </w:rPr>
      </w:pPr>
      <w:r>
        <w:t>usar o software de qualquer maneira que seja ilegal ou</w:t>
      </w:r>
    </w:p>
    <w:p w:rsidR="005D6CBC" w:rsidRDefault="00FE67BA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>compartilhar, publicar, alugar ou arrendar o software ou fornecê-lo como uma solução hospedada independente para outras pessoas usarem ou transferir o software ou este contrato a um terceiro.</w:t>
      </w:r>
    </w:p>
    <w:p w:rsidR="003807C8" w:rsidRPr="00A920A1" w:rsidRDefault="003807C8" w:rsidP="00A920A1">
      <w:pPr>
        <w:pStyle w:val="Heading1"/>
        <w:tabs>
          <w:tab w:val="clear" w:pos="810"/>
          <w:tab w:val="num" w:pos="450"/>
        </w:tabs>
        <w:ind w:left="447"/>
      </w:pPr>
      <w:r>
        <w:t xml:space="preserve">SERVIÇOS DE SUPORTE. </w:t>
      </w:r>
      <w:r>
        <w:rPr>
          <w:b w:val="0"/>
        </w:rPr>
        <w:t>Como o software é fornecido “no estado em que se encontra”, a Microsoft poderá não prestar serviços de suporte para ele.</w:t>
      </w:r>
    </w:p>
    <w:p w:rsidR="003807C8" w:rsidRPr="00A920A1" w:rsidRDefault="003807C8" w:rsidP="00A920A1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t xml:space="preserve">CONTRATO INTEGRAL. </w:t>
      </w:r>
      <w:r>
        <w:rPr>
          <w:b w:val="0"/>
        </w:rPr>
        <w:t>Este contrato e os termos dos suplementos, das atualizações, dos serviços de Internet e dos serviços de suporte por você usados constituem o acordo integral para o software e os serviços de suporte.</w:t>
      </w:r>
    </w:p>
    <w:p w:rsidR="008113AA" w:rsidRDefault="009A7A15" w:rsidP="00A920A1">
      <w:pPr>
        <w:pStyle w:val="Heading1"/>
        <w:tabs>
          <w:tab w:val="clear" w:pos="810"/>
          <w:tab w:val="num" w:pos="450"/>
        </w:tabs>
        <w:ind w:left="447"/>
        <w:rPr>
          <w:rStyle w:val="Hyperlink"/>
          <w:rFonts w:eastAsia="SimSun" w:cs="Tahoma"/>
          <w:color w:val="auto"/>
          <w:sz w:val="20"/>
          <w:szCs w:val="20"/>
          <w:u w:val="none"/>
        </w:rPr>
      </w:pPr>
      <w:r>
        <w:t xml:space="preserve">RESTRIÇÕES DE EXPORTAÇÃO. </w:t>
      </w:r>
      <w:r>
        <w:rPr>
          <w:b w:val="0"/>
        </w:rPr>
        <w:t xml:space="preserve">Deverão ser cumpridas todas as leis e regulamentos de exportação nacionais e internacionais que se aplicam ao software, incluindo restrições de destinos, usuários finais e uso final. Para obter mais informações sobre restrições de exportação, visite o site </w:t>
      </w:r>
      <w:hyperlink w:history="1">
        <w:r>
          <w:rPr>
            <w:rStyle w:val="Hyperlink"/>
            <w:b w:val="0"/>
            <w:bCs w:val="0"/>
            <w:sz w:val="20"/>
            <w:szCs w:val="20"/>
          </w:rPr>
          <w:t>www.microsoft.com/exporting</w:t>
        </w:r>
      </w:hyperlink>
      <w:r>
        <w:rPr>
          <w:b w:val="0"/>
          <w:bCs w:val="0"/>
          <w:sz w:val="20"/>
          <w:szCs w:val="20"/>
        </w:rPr>
        <w:t>.</w:t>
      </w:r>
    </w:p>
    <w:p w:rsidR="008113AA" w:rsidRPr="00DC582F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sz w:val="20"/>
          <w:szCs w:val="20"/>
        </w:rPr>
      </w:pPr>
      <w:r>
        <w:rPr>
          <w:sz w:val="20"/>
          <w:szCs w:val="20"/>
        </w:rPr>
        <w:t>LEI APLICÁVEL.</w:t>
      </w:r>
      <w:r>
        <w:rPr>
          <w:b w:val="0"/>
          <w:bCs w:val="0"/>
          <w:sz w:val="20"/>
          <w:szCs w:val="20"/>
        </w:rPr>
        <w:t xml:space="preserve"> Se você tiver adquirido o software nos Estados Unidos, as leis de Washington se aplicam à interpretação de e a quaisquer requerimentos judiciais ou extrajudiciais por violação deste contrato, e as leis do estado no qual você reside se aplicam a todos os outros requerimentos judiciais ou extrajudiciais. Se você tiver adquirido o software em qualquer outro país, serão aplicáveis as leis desse país.</w:t>
      </w:r>
    </w:p>
    <w:p w:rsidR="00853C20" w:rsidRPr="00E14A13" w:rsidRDefault="00853C20" w:rsidP="00FF4AE5">
      <w:pPr>
        <w:pStyle w:val="Heading1"/>
        <w:tabs>
          <w:tab w:val="clear" w:pos="810"/>
          <w:tab w:val="num" w:pos="450"/>
        </w:tabs>
        <w:ind w:left="447"/>
        <w:rPr>
          <w:b w:val="0"/>
        </w:rPr>
      </w:pPr>
      <w:r>
        <w:t xml:space="preserve">DIREITOS DO CONSUMIDOR; VARIAÇÕES REGIONAIS. </w:t>
      </w:r>
      <w:r>
        <w:rPr>
          <w:b w:val="0"/>
        </w:rPr>
        <w:t>Este contrato descreve determinados direitos previstos em lei. Você poderá ter outros direitos, incluindo os direitos do consumidor, de acordo com as leis do seu estado ou país. Separada e distintamente do seu relacionamento com a Microsoft, você também poderá exercer direitos em relação à parte de quem adquiriu o software. O presente contrato não altera esses outros direitos se as leis do seu estado ou país não permitirem que você o faça. Por exemplo, se você tiver adquirido o software em uma das regiões a seguir, ou leis obrigatórias do país forem aplicáveis, as seguintes disposições se aplicarão a você:</w:t>
      </w:r>
    </w:p>
    <w:p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t xml:space="preserve">Austrália. </w:t>
      </w:r>
      <w:r>
        <w:rPr>
          <w:b w:val="0"/>
        </w:rPr>
        <w:t>você possui garantias estatutárias resguardadas pela Lei de Consumo Australiana e nada neste contrato destina-se a afetar esses direitos.</w:t>
      </w:r>
    </w:p>
    <w:p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t xml:space="preserve">No Canadá. </w:t>
      </w:r>
      <w:r>
        <w:rPr>
          <w:b w:val="0"/>
        </w:rPr>
        <w:t>Caso o software tenha sido adquirido no Canadá, você poderá parar de receber atualizações desativando o recurso de atualizações automáticas, desconectando o seu dispositivo da Internet (no entanto, se e quando houver reconexão à Internet, o software continuará a verificar e a instalar atualizações) ou desinstalando o software. A documentação do produto, se houver, também pode especificar como desativar as atualizações para seu dispositivo ou software específico.</w:t>
      </w:r>
    </w:p>
    <w:p w:rsidR="00853C20" w:rsidRPr="00E14A13" w:rsidRDefault="00853C20" w:rsidP="00A75156">
      <w:pPr>
        <w:pStyle w:val="Heading2"/>
        <w:numPr>
          <w:ilvl w:val="0"/>
          <w:numId w:val="13"/>
        </w:numPr>
        <w:rPr>
          <w:b w:val="0"/>
        </w:rPr>
      </w:pPr>
      <w:r>
        <w:t>Alemanha e Áustria</w:t>
      </w:r>
      <w:r>
        <w:rPr>
          <w:b w:val="0"/>
        </w:rPr>
        <w:t>.</w:t>
      </w:r>
    </w:p>
    <w:p w:rsidR="00853C20" w:rsidRPr="00E14A13" w:rsidRDefault="00853C20" w:rsidP="00853C20">
      <w:pPr>
        <w:ind w:left="717"/>
      </w:pPr>
      <w:r>
        <w:rPr>
          <w:b/>
        </w:rPr>
        <w:t>(i)</w:t>
      </w:r>
      <w:r>
        <w:tab/>
      </w:r>
      <w:r>
        <w:rPr>
          <w:b/>
        </w:rPr>
        <w:t>Garantia</w:t>
      </w:r>
      <w:r>
        <w:t>. O software devidamente licenciado desempenhará as funções de forma substancial conforme descrito nos materiais da Microsoft que acompanham o software. No entanto, a Microsoft não dá nenhuma garantia contratual relativa ao software licenciado.</w:t>
      </w:r>
    </w:p>
    <w:p w:rsidR="00853C20" w:rsidRPr="00E14A13" w:rsidRDefault="00853C20" w:rsidP="00853C20">
      <w:pPr>
        <w:ind w:left="717"/>
      </w:pPr>
      <w:r>
        <w:rPr>
          <w:b/>
        </w:rPr>
        <w:lastRenderedPageBreak/>
        <w:t>(ii)</w:t>
      </w:r>
      <w:r>
        <w:tab/>
      </w:r>
      <w:r>
        <w:rPr>
          <w:b/>
        </w:rPr>
        <w:t>Limitação de responsabilidade</w:t>
      </w:r>
      <w:r>
        <w:t>. No caso de conduta intencional, negligência grave, requerimentos judiciais ou extrajudiciais com base na Product Liability Act - Lei de Responsabilidade Civil sobre Produtos, bem como em caso de morte ou danos pessoais ou físicos, a Microsoft será responsável de acordo com a legislação.</w:t>
      </w:r>
    </w:p>
    <w:p w:rsidR="00853C20" w:rsidRPr="00E14A13" w:rsidRDefault="00853C20" w:rsidP="00853C20">
      <w:pPr>
        <w:pStyle w:val="Heading1"/>
        <w:numPr>
          <w:ilvl w:val="0"/>
          <w:numId w:val="0"/>
        </w:numPr>
        <w:ind w:left="717"/>
        <w:rPr>
          <w:b w:val="0"/>
        </w:rPr>
      </w:pPr>
      <w:r>
        <w:rPr>
          <w:b w:val="0"/>
        </w:rPr>
        <w:t>De acordo com a cláusula (ii) citada, a Microsoft só poderá ser responsável por negligência leve se a mesma tiver violado essas obrigações contratuais substanciais, cuja observância facilitaria o devido cumprimento deste contrato, cuja violação possa colocar em risco os objetivos deste contrato e a conformidade com a qual uma parte poderia confiar constantemente (as chamadas "obrigações primordiais"). Em outros casos de negligência leve, a Microsoft não será responsabilizada.</w:t>
      </w:r>
    </w:p>
    <w:p w:rsidR="008113AA" w:rsidRPr="003807C8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caps/>
          <w:sz w:val="20"/>
          <w:szCs w:val="20"/>
        </w:rPr>
      </w:pPr>
      <w:r>
        <w:rPr>
          <w:caps/>
          <w:sz w:val="20"/>
          <w:szCs w:val="20"/>
        </w:rPr>
        <w:t>Isenção de Garantia.</w:t>
      </w:r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O software é licenciado “no estado em que se encontra”. Você assume o risco de usá-lo. A Microsoft não oferece garantias nem condições contratuais expressas. Até o limite permitido pelas leis locais, a Microsoft exclui as garantias legais de atendimento a padrões de comercialização, adequação a uma finalidade específica e não violação.</w:t>
      </w:r>
    </w:p>
    <w:p w:rsidR="008113AA" w:rsidRPr="00DC582F" w:rsidRDefault="009A7A15" w:rsidP="00FF4AE5">
      <w:pPr>
        <w:pStyle w:val="Heading1"/>
        <w:tabs>
          <w:tab w:val="clear" w:pos="810"/>
          <w:tab w:val="num" w:pos="450"/>
        </w:tabs>
        <w:ind w:left="447"/>
        <w:rPr>
          <w:rFonts w:eastAsia="SimSun"/>
          <w:caps/>
          <w:sz w:val="20"/>
          <w:szCs w:val="20"/>
        </w:rPr>
      </w:pPr>
      <w:r>
        <w:rPr>
          <w:caps/>
          <w:sz w:val="20"/>
          <w:szCs w:val="20"/>
        </w:rPr>
        <w:t>Limitação e Exclusão de Indenizações. A indenização de danos diretos pela Microsoft e seus fornecedores se restringe ao valor de US$ 5,00. Não será possível recuperar quaisquer outros danos, inclusive por lucros cessantes, danos consequenciais, especiais, indiretos ou incidentais.</w:t>
      </w:r>
    </w:p>
    <w:p w:rsidR="008113AA" w:rsidRPr="00DC582F" w:rsidRDefault="009A7A15" w:rsidP="00FF4AE5">
      <w:pPr>
        <w:pStyle w:val="Body1"/>
        <w:widowControl w:val="0"/>
        <w:ind w:left="450" w:firstLine="3"/>
        <w:rPr>
          <w:rFonts w:eastAsia="SimSun"/>
          <w:sz w:val="20"/>
          <w:szCs w:val="20"/>
        </w:rPr>
      </w:pPr>
      <w:r>
        <w:rPr>
          <w:sz w:val="20"/>
          <w:szCs w:val="20"/>
        </w:rPr>
        <w:t>Esta limitação se aplica a (a) qualquer questão relacionada ao software, aos serviços, ao conteúdo (inclusive código) em sites ou aplicativos de terceiros e (b) requerimentos judiciais ou extrajudiciais de violação de contrato, de garantia ou condição, de responsabilidade objetiva, de negligência ou de outro ato ilícito extracontratual, até o limite permitido pela lei aplicável.</w:t>
      </w:r>
    </w:p>
    <w:p w:rsidR="008113AA" w:rsidRDefault="009A7A15" w:rsidP="00FF4AE5">
      <w:pPr>
        <w:widowControl w:val="0"/>
        <w:ind w:left="450"/>
        <w:rPr>
          <w:rFonts w:eastAsia="SimSun"/>
          <w:sz w:val="20"/>
          <w:szCs w:val="20"/>
        </w:rPr>
      </w:pPr>
      <w:r>
        <w:rPr>
          <w:sz w:val="20"/>
          <w:szCs w:val="20"/>
        </w:rPr>
        <w:t>A limitação também se aplicará mesmo que a Microsoft saiba ou tenha sido avisada da possibilidade de danos. A limitação ou exclusão acima poderá não se aplicar a você se a legislação do seu país proibir, entre outros, a exclusão ou a limitação de danos incidentais ou consequenciais.</w:t>
      </w:r>
    </w:p>
    <w:p w:rsidR="00217E29" w:rsidRDefault="00217E29" w:rsidP="00FF4AE5">
      <w:pPr>
        <w:widowControl w:val="0"/>
        <w:ind w:left="450"/>
        <w:rPr>
          <w:rFonts w:eastAsia="SimSun"/>
          <w:sz w:val="20"/>
          <w:szCs w:val="20"/>
        </w:rPr>
      </w:pPr>
    </w:p>
    <w:p w:rsidR="00217E29" w:rsidRDefault="00217E29" w:rsidP="00217E29">
      <w:pPr>
        <w:spacing w:before="0" w:after="160"/>
        <w:ind w:firstLine="360"/>
      </w:pPr>
      <w:r>
        <w:rPr>
          <w:color w:val="000000"/>
        </w:rPr>
        <w:t xml:space="preserve">  EULAID: </w:t>
      </w:r>
      <w:r>
        <w:t>VS2017_RTW.2_VSEXPRESS_</w:t>
      </w:r>
      <w:r w:rsidR="00261C83">
        <w:t>PTB</w:t>
      </w:r>
      <w:bookmarkStart w:id="0" w:name="_GoBack"/>
      <w:bookmarkEnd w:id="0"/>
    </w:p>
    <w:p w:rsidR="00217E29" w:rsidRDefault="00217E29" w:rsidP="00FF4AE5">
      <w:pPr>
        <w:widowControl w:val="0"/>
        <w:ind w:left="450"/>
        <w:rPr>
          <w:rFonts w:eastAsia="SimSun"/>
          <w:sz w:val="20"/>
          <w:szCs w:val="20"/>
        </w:rPr>
      </w:pPr>
    </w:p>
    <w:sectPr w:rsidR="00217E29" w:rsidSect="00E45D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79" w:rsidRDefault="00D457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5779" w:rsidRDefault="00D4577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D45779" w:rsidRDefault="00D457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79" w:rsidRDefault="00D457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5779" w:rsidRDefault="00D4577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D45779" w:rsidRDefault="00D4577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7A"/>
    <w:multiLevelType w:val="hybridMultilevel"/>
    <w:tmpl w:val="0A84B212"/>
    <w:lvl w:ilvl="0" w:tplc="29422296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810"/>
        </w:tabs>
        <w:ind w:left="80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0561481"/>
    <w:multiLevelType w:val="hybridMultilevel"/>
    <w:tmpl w:val="EE525D8A"/>
    <w:lvl w:ilvl="0" w:tplc="FFFFFFFF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0BF"/>
    <w:multiLevelType w:val="hybridMultilevel"/>
    <w:tmpl w:val="93E2E814"/>
    <w:lvl w:ilvl="0" w:tplc="FFFFFFFF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435A"/>
    <w:multiLevelType w:val="hybridMultilevel"/>
    <w:tmpl w:val="FD88DB7A"/>
    <w:lvl w:ilvl="0" w:tplc="FFFFFFFF">
      <w:start w:val="1"/>
      <w:numFmt w:val="bullet"/>
      <w:pStyle w:val="Bullet4"/>
      <w:lvlText w:val=""/>
      <w:lvlJc w:val="left"/>
      <w:pPr>
        <w:tabs>
          <w:tab w:val="num" w:pos="1170"/>
        </w:tabs>
        <w:ind w:left="116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6D6A"/>
    <w:multiLevelType w:val="hybridMultilevel"/>
    <w:tmpl w:val="D3AA996A"/>
    <w:lvl w:ilvl="0" w:tplc="7932E03A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92F"/>
    <w:multiLevelType w:val="hybridMultilevel"/>
    <w:tmpl w:val="5144F806"/>
    <w:lvl w:ilvl="0" w:tplc="B9EE6BD8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D14"/>
    <w:multiLevelType w:val="hybridMultilevel"/>
    <w:tmpl w:val="948EA042"/>
    <w:lvl w:ilvl="0" w:tplc="494A1B90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037"/>
    <w:multiLevelType w:val="hybridMultilevel"/>
    <w:tmpl w:val="46B4BC74"/>
    <w:lvl w:ilvl="0" w:tplc="619624E4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113AA"/>
    <w:rsid w:val="000073D2"/>
    <w:rsid w:val="00012C06"/>
    <w:rsid w:val="000263F1"/>
    <w:rsid w:val="00031BF9"/>
    <w:rsid w:val="000345BB"/>
    <w:rsid w:val="000552D0"/>
    <w:rsid w:val="00064E2E"/>
    <w:rsid w:val="0009229E"/>
    <w:rsid w:val="000B56EF"/>
    <w:rsid w:val="000B71E5"/>
    <w:rsid w:val="000C0F25"/>
    <w:rsid w:val="000C180E"/>
    <w:rsid w:val="000C4F16"/>
    <w:rsid w:val="000C751A"/>
    <w:rsid w:val="000D17FA"/>
    <w:rsid w:val="001142D7"/>
    <w:rsid w:val="0011594A"/>
    <w:rsid w:val="001239DC"/>
    <w:rsid w:val="00146601"/>
    <w:rsid w:val="00166154"/>
    <w:rsid w:val="00167678"/>
    <w:rsid w:val="00187337"/>
    <w:rsid w:val="00192FFA"/>
    <w:rsid w:val="0019306D"/>
    <w:rsid w:val="001B4E80"/>
    <w:rsid w:val="001B7DF9"/>
    <w:rsid w:val="001D3C9B"/>
    <w:rsid w:val="001E2F72"/>
    <w:rsid w:val="001F0BCB"/>
    <w:rsid w:val="001F5B04"/>
    <w:rsid w:val="00202EF2"/>
    <w:rsid w:val="00217A4A"/>
    <w:rsid w:val="00217E29"/>
    <w:rsid w:val="00236BF0"/>
    <w:rsid w:val="00261C83"/>
    <w:rsid w:val="0027286B"/>
    <w:rsid w:val="0027437B"/>
    <w:rsid w:val="0029649D"/>
    <w:rsid w:val="002B6D18"/>
    <w:rsid w:val="002C32BE"/>
    <w:rsid w:val="00303C90"/>
    <w:rsid w:val="003051A3"/>
    <w:rsid w:val="00322B1C"/>
    <w:rsid w:val="00325798"/>
    <w:rsid w:val="00334A0B"/>
    <w:rsid w:val="00357088"/>
    <w:rsid w:val="00365B76"/>
    <w:rsid w:val="00375046"/>
    <w:rsid w:val="003807C8"/>
    <w:rsid w:val="00386BEC"/>
    <w:rsid w:val="003A0255"/>
    <w:rsid w:val="003A191E"/>
    <w:rsid w:val="003B0D0C"/>
    <w:rsid w:val="0041289D"/>
    <w:rsid w:val="00417C8B"/>
    <w:rsid w:val="00425431"/>
    <w:rsid w:val="004838CC"/>
    <w:rsid w:val="004B60A8"/>
    <w:rsid w:val="004D2A76"/>
    <w:rsid w:val="005125FA"/>
    <w:rsid w:val="005137FF"/>
    <w:rsid w:val="00583420"/>
    <w:rsid w:val="00596398"/>
    <w:rsid w:val="005A04EE"/>
    <w:rsid w:val="005A2010"/>
    <w:rsid w:val="005A6956"/>
    <w:rsid w:val="005C5373"/>
    <w:rsid w:val="005D0983"/>
    <w:rsid w:val="005D6CBC"/>
    <w:rsid w:val="005E64EC"/>
    <w:rsid w:val="006320D3"/>
    <w:rsid w:val="00640797"/>
    <w:rsid w:val="00645AED"/>
    <w:rsid w:val="0064695A"/>
    <w:rsid w:val="00652D03"/>
    <w:rsid w:val="0065335A"/>
    <w:rsid w:val="006B3871"/>
    <w:rsid w:val="006B58A5"/>
    <w:rsid w:val="006C30E2"/>
    <w:rsid w:val="006E4093"/>
    <w:rsid w:val="006F0F1C"/>
    <w:rsid w:val="007036AF"/>
    <w:rsid w:val="00706849"/>
    <w:rsid w:val="0071197D"/>
    <w:rsid w:val="007241CD"/>
    <w:rsid w:val="00731553"/>
    <w:rsid w:val="0073775E"/>
    <w:rsid w:val="007424B2"/>
    <w:rsid w:val="00752D77"/>
    <w:rsid w:val="00753B32"/>
    <w:rsid w:val="007557B8"/>
    <w:rsid w:val="007606C1"/>
    <w:rsid w:val="007651A9"/>
    <w:rsid w:val="00780718"/>
    <w:rsid w:val="00781642"/>
    <w:rsid w:val="007869AA"/>
    <w:rsid w:val="007A1B5B"/>
    <w:rsid w:val="007C22B7"/>
    <w:rsid w:val="007D538D"/>
    <w:rsid w:val="008113AA"/>
    <w:rsid w:val="00814E6E"/>
    <w:rsid w:val="00853C20"/>
    <w:rsid w:val="008602E2"/>
    <w:rsid w:val="008634FD"/>
    <w:rsid w:val="008650AE"/>
    <w:rsid w:val="008B3CC8"/>
    <w:rsid w:val="008D43AA"/>
    <w:rsid w:val="008E0465"/>
    <w:rsid w:val="008E7E47"/>
    <w:rsid w:val="00936226"/>
    <w:rsid w:val="0097287C"/>
    <w:rsid w:val="009769B6"/>
    <w:rsid w:val="0098154B"/>
    <w:rsid w:val="009A7A15"/>
    <w:rsid w:val="009C5DC1"/>
    <w:rsid w:val="00A16F91"/>
    <w:rsid w:val="00A23E0A"/>
    <w:rsid w:val="00A333A7"/>
    <w:rsid w:val="00A75156"/>
    <w:rsid w:val="00A8451A"/>
    <w:rsid w:val="00A920A1"/>
    <w:rsid w:val="00AB0EF0"/>
    <w:rsid w:val="00AC6E1F"/>
    <w:rsid w:val="00AD3FA5"/>
    <w:rsid w:val="00AD7B4D"/>
    <w:rsid w:val="00AE4E5D"/>
    <w:rsid w:val="00B10D0B"/>
    <w:rsid w:val="00B171C1"/>
    <w:rsid w:val="00B212A3"/>
    <w:rsid w:val="00B248EB"/>
    <w:rsid w:val="00B27648"/>
    <w:rsid w:val="00B63B53"/>
    <w:rsid w:val="00B6793C"/>
    <w:rsid w:val="00B85B59"/>
    <w:rsid w:val="00B862E9"/>
    <w:rsid w:val="00BC010C"/>
    <w:rsid w:val="00BD648E"/>
    <w:rsid w:val="00BE609E"/>
    <w:rsid w:val="00BF4C6A"/>
    <w:rsid w:val="00C020DD"/>
    <w:rsid w:val="00C06DFF"/>
    <w:rsid w:val="00C23EB4"/>
    <w:rsid w:val="00C42026"/>
    <w:rsid w:val="00C618A3"/>
    <w:rsid w:val="00C618CC"/>
    <w:rsid w:val="00C703AC"/>
    <w:rsid w:val="00C95C5C"/>
    <w:rsid w:val="00CA4130"/>
    <w:rsid w:val="00CE294C"/>
    <w:rsid w:val="00CE40C8"/>
    <w:rsid w:val="00CF225F"/>
    <w:rsid w:val="00CF2973"/>
    <w:rsid w:val="00D12EA1"/>
    <w:rsid w:val="00D308DB"/>
    <w:rsid w:val="00D45779"/>
    <w:rsid w:val="00D84062"/>
    <w:rsid w:val="00D9209F"/>
    <w:rsid w:val="00DA3F76"/>
    <w:rsid w:val="00DC582F"/>
    <w:rsid w:val="00E02845"/>
    <w:rsid w:val="00E12EE0"/>
    <w:rsid w:val="00E14A13"/>
    <w:rsid w:val="00E258E2"/>
    <w:rsid w:val="00E25FF6"/>
    <w:rsid w:val="00E26362"/>
    <w:rsid w:val="00E4050A"/>
    <w:rsid w:val="00E41D76"/>
    <w:rsid w:val="00E45DB9"/>
    <w:rsid w:val="00E50423"/>
    <w:rsid w:val="00E57AEA"/>
    <w:rsid w:val="00E603F9"/>
    <w:rsid w:val="00E74C07"/>
    <w:rsid w:val="00E81F8A"/>
    <w:rsid w:val="00E92598"/>
    <w:rsid w:val="00E94B45"/>
    <w:rsid w:val="00EE1666"/>
    <w:rsid w:val="00F01A36"/>
    <w:rsid w:val="00F14A81"/>
    <w:rsid w:val="00F1738C"/>
    <w:rsid w:val="00F31717"/>
    <w:rsid w:val="00F31A21"/>
    <w:rsid w:val="00F353FC"/>
    <w:rsid w:val="00F3654D"/>
    <w:rsid w:val="00F371B9"/>
    <w:rsid w:val="00F72057"/>
    <w:rsid w:val="00F9625D"/>
    <w:rsid w:val="00FA18A8"/>
    <w:rsid w:val="00FC0DE1"/>
    <w:rsid w:val="00FC5E76"/>
    <w:rsid w:val="00FC6B18"/>
    <w:rsid w:val="00FD2F73"/>
    <w:rsid w:val="00FE67BA"/>
    <w:rsid w:val="00FE73B6"/>
    <w:rsid w:val="00FF1526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ody3">
    <w:name w:val="Body 3"/>
    <w:basedOn w:val="Normal"/>
    <w:uiPriority w:val="99"/>
    <w:pPr>
      <w:ind w:left="1077"/>
    </w:pPr>
  </w:style>
  <w:style w:type="paragraph" w:customStyle="1" w:styleId="Body4">
    <w:name w:val="Body 4"/>
    <w:basedOn w:val="Normal"/>
    <w:uiPriority w:val="99"/>
    <w:pPr>
      <w:ind w:left="1435"/>
    </w:pPr>
  </w:style>
  <w:style w:type="paragraph" w:customStyle="1" w:styleId="Body5">
    <w:name w:val="Body 5"/>
    <w:basedOn w:val="Normal"/>
    <w:uiPriority w:val="99"/>
    <w:pPr>
      <w:ind w:left="1803"/>
    </w:pPr>
  </w:style>
  <w:style w:type="paragraph" w:customStyle="1" w:styleId="Body6">
    <w:name w:val="Body 6"/>
    <w:basedOn w:val="Normal"/>
    <w:uiPriority w:val="99"/>
    <w:pPr>
      <w:ind w:left="2160"/>
    </w:pPr>
  </w:style>
  <w:style w:type="paragraph" w:customStyle="1" w:styleId="Body7">
    <w:name w:val="Body 7"/>
    <w:basedOn w:val="Normal"/>
    <w:uiPriority w:val="99"/>
    <w:pPr>
      <w:ind w:left="2506"/>
    </w:pPr>
  </w:style>
  <w:style w:type="paragraph" w:customStyle="1" w:styleId="Body8">
    <w:name w:val="Body 8"/>
    <w:basedOn w:val="Normal"/>
    <w:uiPriority w:val="99"/>
    <w:pPr>
      <w:ind w:left="2863"/>
    </w:pPr>
  </w:style>
  <w:style w:type="paragraph" w:customStyle="1" w:styleId="Body9">
    <w:name w:val="Body 9"/>
    <w:basedOn w:val="Normal"/>
    <w:uiPriority w:val="99"/>
    <w:pPr>
      <w:ind w:left="3221"/>
    </w:pPr>
  </w:style>
  <w:style w:type="paragraph" w:customStyle="1" w:styleId="Bullet1">
    <w:name w:val="Bullet 1"/>
    <w:basedOn w:val="Normal"/>
    <w:uiPriority w:val="99"/>
    <w:pPr>
      <w:numPr>
        <w:numId w:val="1"/>
      </w:numPr>
    </w:pPr>
  </w:style>
  <w:style w:type="paragraph" w:customStyle="1" w:styleId="Bullet2">
    <w:name w:val="Bullet 2"/>
    <w:basedOn w:val="Normal"/>
    <w:uiPriority w:val="99"/>
    <w:pPr>
      <w:numPr>
        <w:numId w:val="2"/>
      </w:numPr>
    </w:pPr>
  </w:style>
  <w:style w:type="paragraph" w:customStyle="1" w:styleId="Bullet3">
    <w:name w:val="Bullet 3"/>
    <w:basedOn w:val="Normal"/>
    <w:uiPriority w:val="99"/>
    <w:pPr>
      <w:numPr>
        <w:numId w:val="3"/>
      </w:numPr>
    </w:pPr>
  </w:style>
  <w:style w:type="paragraph" w:customStyle="1" w:styleId="Bullet4">
    <w:name w:val="Bullet 4"/>
    <w:basedOn w:val="Normal"/>
    <w:uiPriority w:val="99"/>
    <w:pPr>
      <w:numPr>
        <w:numId w:val="4"/>
      </w:numPr>
    </w:pPr>
  </w:style>
  <w:style w:type="paragraph" w:customStyle="1" w:styleId="Bullet5">
    <w:name w:val="Bullet 5"/>
    <w:basedOn w:val="Normal"/>
    <w:uiPriority w:val="99"/>
    <w:pPr>
      <w:numPr>
        <w:numId w:val="5"/>
      </w:numPr>
    </w:pPr>
  </w:style>
  <w:style w:type="paragraph" w:customStyle="1" w:styleId="Bullet6">
    <w:name w:val="Bullet 6"/>
    <w:basedOn w:val="Normal"/>
    <w:uiPriority w:val="99"/>
    <w:pPr>
      <w:numPr>
        <w:numId w:val="6"/>
      </w:numPr>
    </w:pPr>
  </w:style>
  <w:style w:type="paragraph" w:customStyle="1" w:styleId="Bullet7">
    <w:name w:val="Bullet 7"/>
    <w:basedOn w:val="Normal"/>
    <w:uiPriority w:val="99"/>
    <w:pPr>
      <w:numPr>
        <w:numId w:val="7"/>
      </w:numPr>
    </w:pPr>
  </w:style>
  <w:style w:type="paragraph" w:customStyle="1" w:styleId="Bullet8">
    <w:name w:val="Bullet 8"/>
    <w:basedOn w:val="Normal"/>
    <w:uiPriority w:val="99"/>
    <w:pPr>
      <w:numPr>
        <w:numId w:val="8"/>
      </w:numPr>
    </w:pPr>
  </w:style>
  <w:style w:type="paragraph" w:customStyle="1" w:styleId="Bullet9">
    <w:name w:val="Bullet 9"/>
    <w:basedOn w:val="Body9"/>
    <w:uiPriority w:val="99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uiPriority w:val="99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Bullet3Underline">
    <w:name w:val="Bullet 3 Underline"/>
    <w:basedOn w:val="Bullet3"/>
    <w:uiPriority w:val="99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paragraph" w:customStyle="1" w:styleId="Body3Underline">
    <w:name w:val="Body 3 Underline"/>
    <w:basedOn w:val="Body3"/>
    <w:uiPriority w:val="99"/>
    <w:rPr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Pr>
      <w:i/>
      <w:iCs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pt-BR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pt-BR" w:eastAsia="en-US"/>
    </w:rPr>
  </w:style>
  <w:style w:type="character" w:customStyle="1" w:styleId="Body4Char">
    <w:name w:val="Body 4 Char"/>
    <w:basedOn w:val="DefaultParagraphFont"/>
    <w:uiPriority w:val="99"/>
    <w:rPr>
      <w:rFonts w:ascii="Tahoma" w:hAnsi="Tahoma" w:cs="Tahoma"/>
      <w:lang w:val="pt-BR" w:eastAsia="en-US"/>
    </w:rPr>
  </w:style>
  <w:style w:type="character" w:customStyle="1" w:styleId="Body1Char">
    <w:name w:val="Body 1 Char"/>
    <w:basedOn w:val="DefaultParagraphFont"/>
    <w:uiPriority w:val="99"/>
    <w:rPr>
      <w:rFonts w:ascii="Tahoma" w:hAnsi="Tahoma" w:cs="Tahoma"/>
      <w:lang w:val="pt-BR" w:eastAsia="en-US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Pr>
      <w:rFonts w:ascii="Trebuchet MS" w:hAnsi="Trebuchet MS" w:cs="Trebuchet MS"/>
      <w:b/>
      <w:bCs/>
      <w:lang w:val="pt-BR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CharCharChar1">
    <w:name w:val="Char Char Char Char1"/>
    <w:basedOn w:val="Normal"/>
    <w:uiPriority w:val="99"/>
    <w:pPr>
      <w:spacing w:before="0" w:after="160" w:line="240" w:lineRule="exact"/>
    </w:pPr>
  </w:style>
  <w:style w:type="paragraph" w:customStyle="1" w:styleId="Body0Bold">
    <w:name w:val="Body 0 Bold"/>
    <w:next w:val="Normal"/>
    <w:uiPriority w:val="99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A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A15"/>
    <w:rPr>
      <w:rFonts w:ascii="Tahoma" w:hAnsi="Tahoma" w:cs="Tahoma"/>
      <w:b/>
      <w:bCs/>
      <w:sz w:val="20"/>
      <w:szCs w:val="20"/>
    </w:rPr>
  </w:style>
  <w:style w:type="paragraph" w:customStyle="1" w:styleId="Bullet4Underlined">
    <w:name w:val="Bullet 4 Underlined"/>
    <w:basedOn w:val="Bullet4"/>
    <w:rsid w:val="00167678"/>
    <w:pPr>
      <w:numPr>
        <w:numId w:val="0"/>
      </w:numPr>
      <w:tabs>
        <w:tab w:val="num" w:pos="360"/>
      </w:tabs>
      <w:ind w:left="357" w:hanging="357"/>
    </w:pPr>
    <w:rPr>
      <w:u w:val="single"/>
    </w:rPr>
  </w:style>
  <w:style w:type="paragraph" w:styleId="Revision">
    <w:name w:val="Revision"/>
    <w:hidden/>
    <w:uiPriority w:val="99"/>
    <w:semiHidden/>
    <w:rsid w:val="0009229E"/>
    <w:pPr>
      <w:spacing w:after="0" w:line="240" w:lineRule="auto"/>
    </w:pPr>
    <w:rPr>
      <w:rFonts w:ascii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.microsoft.com/?linkid=984073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.microsoft.com/fwlink/?LinkID=8247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microsoft.com/fwlink/?LinkId=8230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3291AA28604496936993F6547311" ma:contentTypeVersion="3" ma:contentTypeDescription="Create a new document." ma:contentTypeScope="" ma:versionID="07ad514620533c6dd0c59d28180e37a0">
  <xsd:schema xmlns:xsd="http://www.w3.org/2001/XMLSchema" xmlns:xs="http://www.w3.org/2001/XMLSchema" xmlns:p="http://schemas.microsoft.com/office/2006/metadata/properties" xmlns:ns2="d73a72ad-5568-4a1f-86bd-5f6f8abe423d" targetNamespace="http://schemas.microsoft.com/office/2006/metadata/properties" ma:root="true" ma:fieldsID="96fbae368b02226faf46524ef7edbd4b" ns2:_="">
    <xsd:import namespace="d73a72ad-5568-4a1f-86bd-5f6f8abe4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72ad-5568-4a1f-86bd-5f6f8abe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700E-461E-4CA6-8E34-738B3DD0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a72ad-5568-4a1f-86bd-5f6f8abe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C4F24-7733-4F47-9DB5-5E85E622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CE89-1065-4023-8B74-3403161446A8}">
  <ds:schemaRefs>
    <ds:schemaRef ds:uri="d73a72ad-5568-4a1f-86bd-5f6f8abe423d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817F4E-9CD0-404E-99B5-6030CBB2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2018-03-02T01:39:00Z</dcterms:created>
  <dcterms:modified xsi:type="dcterms:W3CDTF">2018-03-23T17:23:00Z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0x010100F2E13291AA28604496936993F6547311</vt:lpwstr>
  </property>
  <property fmtid="{D5CDD505-2E9C-101B-9397-08002B2CF9AE}" pid="3" name="_dlc_DocIdItemGuid">
    <vt:lpwstr>72ff9228-987d-44ca-aaac-f1a922349c47</vt:lpwstr>
  </property>
  <property fmtid="{D5CDD505-2E9C-101B-9397-08002B2CF9AE}" pid="4" name="DocVizMetadataToken">
    <vt:lpwstr>270x350x2</vt:lpwstr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Ref">
    <vt:lpwstr>https://api.informationprotection.azure.com/api/72f988bf-86f1-41af-91ab-2d7cd011db47</vt:lpwstr>
  </property>
  <property fmtid="{D5CDD505-2E9C-101B-9397-08002B2CF9AE}" pid="8" name="MSIP_Label_f42aa342-8706-4288-bd11-ebb85995028c_Owner">
    <vt:lpwstr>kathan@microsoft.com</vt:lpwstr>
  </property>
  <property fmtid="{D5CDD505-2E9C-101B-9397-08002B2CF9AE}" pid="9" name="MSIP_Label_f42aa342-8706-4288-bd11-ebb85995028c_SetDate">
    <vt:lpwstr>2017-10-16T14:37:57.8935124-07:00</vt:lpwstr>
  </property>
  <property fmtid="{D5CDD505-2E9C-101B-9397-08002B2CF9AE}" pid="10" name="MSIP_Label_f42aa342-8706-4288-bd11-ebb85995028c_Name">
    <vt:lpwstr>General</vt:lpwstr>
  </property>
  <property fmtid="{D5CDD505-2E9C-101B-9397-08002B2CF9AE}" pid="11" name="MSIP_Label_f42aa342-8706-4288-bd11-ebb85995028c_Application">
    <vt:lpwstr>Microsoft Azure Information Protection</vt:lpwstr>
  </property>
  <property fmtid="{D5CDD505-2E9C-101B-9397-08002B2CF9AE}" pid="12" name="MSIP_Label_f42aa342-8706-4288-bd11-ebb85995028c_Extended_MSFT_Method">
    <vt:lpwstr>Automatic</vt:lpwstr>
  </property>
  <property fmtid="{D5CDD505-2E9C-101B-9397-08002B2CF9AE}" pid="13" name="Sensitivity">
    <vt:lpwstr>General</vt:lpwstr>
  </property>
</Properties>
</file>