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УСЛОВИЯ ЛИЦЕНЗИИ НА ПРОГРАММНОЕ ОБЕСПЕЧЕНИЕ MICROSOFT</w:t>
      </w:r>
    </w:p>
    <w:p w:rsidR="008E7E47" w:rsidRPr="00E45DB9" w:rsidRDefault="009A7A15" w:rsidP="008E7E47">
      <w:pPr>
        <w:pStyle w:val="HeadingSoftwareTitle"/>
        <w:widowControl w:val="0"/>
        <w:rPr>
          <w:rFonts w:eastAsia="SimSun"/>
          <w:sz w:val="19"/>
          <w:szCs w:val="19"/>
        </w:rPr>
      </w:pPr>
      <w:r>
        <w:rPr>
          <w:sz w:val="19"/>
          <w:szCs w:val="19"/>
        </w:rPr>
        <w:t>MICROSOFT VISUAL STUDIO 2017 EXPRESS ДЛЯ НАСТОЛЬНЫХ СИСТЕМ WINDOWS</w:t>
      </w:r>
    </w:p>
    <w:p w:rsidR="008113AA" w:rsidRPr="00E45DB9" w:rsidRDefault="009A7A15" w:rsidP="008B3CC8">
      <w:pPr>
        <w:pStyle w:val="Preamble"/>
        <w:widowControl w:val="0"/>
        <w:rPr>
          <w:rFonts w:eastAsia="SimSun"/>
        </w:rPr>
      </w:pPr>
      <w:r>
        <w:rPr>
          <w:b w:val="0"/>
          <w:bCs w:val="0"/>
        </w:rPr>
        <w:t xml:space="preserve">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 </w:t>
      </w:r>
    </w:p>
    <w:p w:rsidR="008113AA" w:rsidRPr="00E45DB9" w:rsidRDefault="009A7A15">
      <w:pPr>
        <w:pStyle w:val="PreambleBorderAbove"/>
        <w:widowControl w:val="0"/>
        <w:rPr>
          <w:rFonts w:eastAsia="SimSun"/>
        </w:rPr>
      </w:pPr>
      <w:r>
        <w:t>ЕСЛИ ВЫ ВЫПОЛНЯЕТЕ УСЛОВИЯ ДАННОЙ ЛИЦЕНЗИИ, ВАМ ПРЕДОСТАВЛЯЮТСЯ УКАЗАННЫЕ НИЖЕ ПРАВА.</w:t>
      </w:r>
    </w:p>
    <w:p w:rsidR="008113AA" w:rsidRPr="00E45DB9" w:rsidRDefault="009A7A15" w:rsidP="00146601">
      <w:pPr>
        <w:pStyle w:val="Heading1"/>
        <w:tabs>
          <w:tab w:val="clear" w:pos="810"/>
          <w:tab w:val="num" w:pos="450"/>
        </w:tabs>
        <w:ind w:left="447"/>
      </w:pPr>
      <w:r>
        <w:t xml:space="preserve">ПРАВА НА УСТАНОВКУ И ИСПОЛЬЗОВАНИЕ. </w:t>
      </w:r>
    </w:p>
    <w:p w:rsidR="003A191E" w:rsidRPr="00DC582F" w:rsidRDefault="009A7A15" w:rsidP="00C06DFF">
      <w:pPr>
        <w:pStyle w:val="Heading2"/>
        <w:widowControl w:val="0"/>
        <w:tabs>
          <w:tab w:val="left" w:pos="5760"/>
        </w:tabs>
        <w:rPr>
          <w:rFonts w:eastAsia="SimSun"/>
          <w:sz w:val="20"/>
          <w:szCs w:val="20"/>
        </w:rPr>
      </w:pPr>
      <w:r>
        <w:rPr>
          <w:sz w:val="20"/>
          <w:szCs w:val="20"/>
        </w:rPr>
        <w:t>Установка и использование.</w:t>
      </w:r>
      <w:r>
        <w:rPr>
          <w:rStyle w:val="Body2Char"/>
          <w:b w:val="0"/>
          <w:bCs w:val="0"/>
          <w:sz w:val="20"/>
          <w:szCs w:val="20"/>
        </w:rPr>
        <w:t xml:space="preserve"> Один пользователь может использовать копии программного обеспечения для разработки и тестирования приложений.</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Использование для демонстрации.</w:t>
      </w:r>
      <w:r>
        <w:rPr>
          <w:rStyle w:val="Body2Char"/>
          <w:sz w:val="20"/>
          <w:szCs w:val="20"/>
        </w:rPr>
        <w:t xml:space="preserve">  </w:t>
      </w:r>
      <w:r>
        <w:rPr>
          <w:rStyle w:val="Body2Char"/>
          <w:b w:val="0"/>
          <w:sz w:val="20"/>
          <w:szCs w:val="20"/>
        </w:rPr>
        <w:t>К разрешенным способам применения, указанным выше, относится использование программного обеспечения для демонстрации ваших приложений.</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Резервная копия.</w:t>
      </w:r>
      <w:r>
        <w:rPr>
          <w:rStyle w:val="Body2Char"/>
          <w:b w:val="0"/>
          <w:sz w:val="20"/>
          <w:szCs w:val="20"/>
        </w:rPr>
        <w:t xml:space="preserve">  Вы можете создать одну резервную копию программного обеспечения для его переустановки.</w:t>
      </w:r>
    </w:p>
    <w:p w:rsidR="00DC582F" w:rsidRDefault="00DC582F" w:rsidP="00146601">
      <w:pPr>
        <w:pStyle w:val="Heading1"/>
        <w:tabs>
          <w:tab w:val="clear" w:pos="810"/>
          <w:tab w:val="num" w:pos="450"/>
        </w:tabs>
        <w:ind w:left="447"/>
      </w:pPr>
      <w:r>
        <w:t>УСЛОВИЯ, КАСАЮЩИЕСЯ КОНКРЕТНЫХ КОМПОНЕНТОВ</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Включенные программы Microsoft. </w:t>
      </w:r>
      <w:r>
        <w:rPr>
          <w:b w:val="0"/>
          <w:bCs w:val="0"/>
          <w:sz w:val="20"/>
          <w:szCs w:val="20"/>
        </w:rPr>
        <w:t>Данное программное обеспечение содержит другие программы Microsoft. Условия лицензий на эти программы распространяются и на вас.</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Компоненты третьих лиц.  </w:t>
      </w:r>
      <w:r>
        <w:rPr>
          <w:b w:val="0"/>
          <w:bCs w:val="0"/>
          <w:sz w:val="20"/>
          <w:szCs w:val="20"/>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Платформы Microsoft. </w:t>
      </w:r>
      <w:r>
        <w:rPr>
          <w:b w:val="0"/>
          <w:sz w:val="20"/>
          <w:szCs w:val="20"/>
        </w:rPr>
        <w:t>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находятся в папке, в которую установлено связанное программное обеспечение, то соответствующие условия лицензии являются приоритетными.</w:t>
      </w:r>
    </w:p>
    <w:p w:rsidR="006E4093" w:rsidRDefault="00DC582F" w:rsidP="00146601">
      <w:pPr>
        <w:pStyle w:val="Heading2"/>
        <w:widowControl w:val="0"/>
        <w:tabs>
          <w:tab w:val="left" w:pos="5760"/>
        </w:tabs>
        <w:rPr>
          <w:rFonts w:eastAsia="SimSun"/>
          <w:b w:val="0"/>
          <w:sz w:val="20"/>
          <w:szCs w:val="20"/>
        </w:rPr>
      </w:pPr>
      <w:r>
        <w:rPr>
          <w:sz w:val="20"/>
          <w:szCs w:val="20"/>
        </w:rPr>
        <w:t xml:space="preserve">Диспетчеры пакетов.  </w:t>
      </w:r>
      <w:r>
        <w:rPr>
          <w:b w:val="0"/>
          <w:sz w:val="20"/>
          <w:szCs w:val="20"/>
        </w:rPr>
        <w:t>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 приложением. Использование этих пакетов регулируется в соответствии с лицензиями на них, а не этим соглашением. Microsoft не распространяет, не лицензирует пакеты третьих сторон и не предоставляет в их отношении какие-либо гарантии.</w:t>
      </w:r>
    </w:p>
    <w:p w:rsidR="00DC582F" w:rsidRPr="00334A0B" w:rsidRDefault="00E4050A" w:rsidP="00146601">
      <w:pPr>
        <w:pStyle w:val="Heading2"/>
        <w:widowControl w:val="0"/>
        <w:tabs>
          <w:tab w:val="left" w:pos="5760"/>
        </w:tabs>
        <w:rPr>
          <w:rFonts w:eastAsia="SimSun"/>
          <w:b w:val="0"/>
          <w:sz w:val="20"/>
          <w:szCs w:val="20"/>
        </w:rPr>
      </w:pPr>
      <w:r>
        <w:t xml:space="preserve">Средства сборки.   </w:t>
      </w:r>
      <w:r>
        <w:rPr>
          <w:b w:val="0"/>
        </w:rPr>
        <w:t xml:space="preserve">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w:t>
      </w:r>
      <w:r>
        <w:rPr>
          <w:b w:val="0"/>
          <w:bCs w:val="0"/>
        </w:rPr>
        <w:t xml:space="preserve">эти файлы на своих </w:t>
      </w:r>
      <w:r>
        <w:rPr>
          <w:b w:val="0"/>
          <w:bCs w:val="0"/>
        </w:rPr>
        <w:lastRenderedPageBreak/>
        <w:t>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  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ВТОРИЧНО РАСПРОСТРАНЯЕМЫЙ КОД. </w:t>
      </w:r>
      <w:r>
        <w:rPr>
          <w:b w:val="0"/>
        </w:rPr>
        <w:t>Программное обеспечение содержит код, который вы имеете право распространять без изменений на приложения, разрабатываемые вами, при условии соблюдения вами условий, указанных ниже.  (В настоящем разделе под термином «распространение» также подразумевается развертывание ваших приложений с предоставлением третьим лицам доступа к ним через Интернет.)</w:t>
      </w:r>
    </w:p>
    <w:p w:rsidR="008113AA" w:rsidRPr="00B85B59" w:rsidRDefault="00146601" w:rsidP="007C22B7">
      <w:pPr>
        <w:pStyle w:val="Heading2"/>
        <w:widowControl w:val="0"/>
        <w:rPr>
          <w:rFonts w:eastAsia="SimSun"/>
          <w:b w:val="0"/>
          <w:sz w:val="20"/>
          <w:szCs w:val="20"/>
        </w:rPr>
      </w:pPr>
      <w:r>
        <w:rPr>
          <w:bCs w:val="0"/>
          <w:sz w:val="20"/>
          <w:szCs w:val="20"/>
        </w:rPr>
        <w:t xml:space="preserve">Права на распространение. </w:t>
      </w:r>
      <w:r>
        <w:rPr>
          <w:rStyle w:val="Body3Char"/>
          <w:sz w:val="20"/>
          <w:szCs w:val="20"/>
        </w:rPr>
        <w:t xml:space="preserve"> </w:t>
      </w:r>
      <w:r>
        <w:rPr>
          <w:rStyle w:val="Body3Char"/>
          <w:b w:val="0"/>
          <w:sz w:val="20"/>
          <w:szCs w:val="20"/>
        </w:rPr>
        <w:t>Код и текстовые файлы, указанные ниже, представляют собой «</w:t>
      </w:r>
      <w:r>
        <w:rPr>
          <w:rStyle w:val="Body3Char"/>
          <w:sz w:val="20"/>
          <w:szCs w:val="20"/>
        </w:rPr>
        <w:t>Распространяемый код</w:t>
      </w:r>
      <w:r>
        <w:rPr>
          <w:rStyle w:val="Body3Char"/>
          <w:b w:val="0"/>
          <w:sz w:val="20"/>
          <w:szCs w:val="20"/>
        </w:rPr>
        <w: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Файлы REDIST.TXT</w:t>
      </w:r>
      <w:r>
        <w:rPr>
          <w:sz w:val="20"/>
          <w:szCs w:val="20"/>
          <w:u w:val="none"/>
        </w:rPr>
        <w:t xml:space="preserve">. </w:t>
      </w:r>
      <w:r>
        <w:t>Вы имеете право копировать и распространять объектную форму кода, указанного в списке REDIST по адресу</w:t>
      </w:r>
      <w:r>
        <w:rPr>
          <w:sz w:val="20"/>
          <w:szCs w:val="20"/>
          <w:u w:val="none"/>
        </w:rPr>
        <w:t xml:space="preserve"> </w:t>
      </w:r>
      <w:hyperlink r:id="rId11" w:history="1">
        <w:r>
          <w:rPr>
            <w:rStyle w:val="Hyperlink"/>
          </w:rPr>
          <w:t>https://go.microsoft.com/fwlink/?LinkId=823098</w:t>
        </w:r>
      </w:hyperlink>
      <w:r>
        <w:rPr>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Образец кода, шаблоны и стили</w:t>
      </w:r>
      <w:r>
        <w:rPr>
          <w:u w:val="none"/>
        </w:rPr>
        <w:t xml:space="preserve">. Вы можете копировать, изменять и распространять код, помеченный как «пример», «шаблон», «простые стили» или «эскизные стили», в форме исходного и объектного кода.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t>Распространение третьими лицами</w:t>
      </w:r>
      <w:r>
        <w:rPr>
          <w:sz w:val="20"/>
          <w:szCs w:val="20"/>
          <w:u w:val="none"/>
        </w:rPr>
        <w:t>. Вы можете разрешить распространителям ваших приложений копировать и распространять Распространяемый код как часть этих приложений.</w:t>
      </w:r>
    </w:p>
    <w:p w:rsidR="008113AA" w:rsidRDefault="009A7A15">
      <w:pPr>
        <w:pStyle w:val="Heading3Bold"/>
        <w:widowControl w:val="0"/>
        <w:tabs>
          <w:tab w:val="clear" w:pos="1440"/>
          <w:tab w:val="num" w:pos="1077"/>
        </w:tabs>
        <w:rPr>
          <w:rFonts w:eastAsia="SimSun"/>
          <w:sz w:val="20"/>
          <w:szCs w:val="20"/>
        </w:rPr>
      </w:pPr>
      <w:r>
        <w:rPr>
          <w:sz w:val="20"/>
          <w:szCs w:val="20"/>
        </w:rPr>
        <w:t>Условия распространения.</w:t>
      </w:r>
      <w:r>
        <w:rPr>
          <w:rStyle w:val="Body3Char"/>
          <w:sz w:val="20"/>
          <w:szCs w:val="20"/>
        </w:rPr>
        <w:t xml:space="preserve"> </w:t>
      </w:r>
      <w:r>
        <w:rPr>
          <w:rStyle w:val="Body3Char"/>
          <w:b w:val="0"/>
          <w:sz w:val="20"/>
          <w:szCs w:val="20"/>
        </w:rPr>
        <w:t>Для распространения любого Вторично распространяемого кода вы должны:</w:t>
      </w:r>
    </w:p>
    <w:p w:rsidR="008113AA" w:rsidRDefault="009A7A15">
      <w:pPr>
        <w:pStyle w:val="Bullet4"/>
        <w:widowControl w:val="0"/>
        <w:rPr>
          <w:rFonts w:eastAsia="SimSun"/>
          <w:sz w:val="20"/>
          <w:szCs w:val="20"/>
        </w:rPr>
      </w:pPr>
      <w:r>
        <w:rPr>
          <w:sz w:val="20"/>
          <w:szCs w:val="20"/>
        </w:rPr>
        <w:t>существенно расширить основные функциональные возможности кода в приложениях;</w:t>
      </w:r>
    </w:p>
    <w:p w:rsidR="008113AA" w:rsidRDefault="009A7A15">
      <w:pPr>
        <w:pStyle w:val="Bullet4"/>
        <w:widowControl w:val="0"/>
        <w:rPr>
          <w:rFonts w:eastAsia="SimSun"/>
          <w:sz w:val="20"/>
          <w:szCs w:val="20"/>
        </w:rPr>
      </w:pPr>
      <w:r>
        <w:rPr>
          <w:sz w:val="20"/>
          <w:szCs w:val="20"/>
        </w:rPr>
        <w:t>потребовать от дистрибьюторов и внешних пользователей соблюдения условий, которые будут защищать Распространяемый код не меньше, чем данное соглашение;</w:t>
      </w:r>
    </w:p>
    <w:p w:rsidR="008113AA" w:rsidRDefault="009A7A15">
      <w:pPr>
        <w:pStyle w:val="Bullet4"/>
        <w:widowControl w:val="0"/>
        <w:rPr>
          <w:rFonts w:eastAsia="SimSun"/>
          <w:sz w:val="20"/>
          <w:szCs w:val="20"/>
        </w:rPr>
      </w:pPr>
      <w:r>
        <w:rPr>
          <w:sz w:val="20"/>
          <w:szCs w:val="20"/>
        </w:rPr>
        <w:t>освободить от ответственности, защитить и оградить Microsoft от любых претензий, связанных с использованием и распространением ваших приложений, включая расходы на оплату услуг адвокатов, за исключением случаев, когда претензия связана исключительно с Распространяемым кодом.</w:t>
      </w:r>
    </w:p>
    <w:p w:rsidR="008113AA" w:rsidRDefault="009A7A15">
      <w:pPr>
        <w:pStyle w:val="Heading3Bold"/>
        <w:widowControl w:val="0"/>
        <w:tabs>
          <w:tab w:val="clear" w:pos="1440"/>
          <w:tab w:val="num" w:pos="1077"/>
        </w:tabs>
        <w:rPr>
          <w:rFonts w:eastAsia="SimSun"/>
          <w:sz w:val="20"/>
          <w:szCs w:val="20"/>
        </w:rPr>
      </w:pPr>
      <w:r>
        <w:rPr>
          <w:sz w:val="20"/>
          <w:szCs w:val="20"/>
        </w:rPr>
        <w:t>Ограничения распространения.</w:t>
      </w:r>
      <w:r>
        <w:rPr>
          <w:rStyle w:val="Body3Char"/>
          <w:sz w:val="20"/>
          <w:szCs w:val="20"/>
        </w:rPr>
        <w:t xml:space="preserve"> Вы не имеете права:</w:t>
      </w:r>
    </w:p>
    <w:p w:rsidR="008113AA" w:rsidRDefault="009A7A15">
      <w:pPr>
        <w:pStyle w:val="Bullet4"/>
        <w:widowControl w:val="0"/>
        <w:rPr>
          <w:rFonts w:eastAsia="SimSun"/>
          <w:sz w:val="20"/>
          <w:szCs w:val="20"/>
        </w:rPr>
      </w:pPr>
      <w:r>
        <w:rPr>
          <w:sz w:val="20"/>
          <w:szCs w:val="20"/>
        </w:rPr>
        <w:t xml:space="preserve">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 </w:t>
      </w:r>
    </w:p>
    <w:p w:rsidR="008113AA" w:rsidRDefault="009A7A15" w:rsidP="00F72057">
      <w:pPr>
        <w:pStyle w:val="Bullet4"/>
        <w:widowControl w:val="0"/>
        <w:rPr>
          <w:rFonts w:eastAsia="SimSun"/>
          <w:sz w:val="20"/>
          <w:szCs w:val="20"/>
        </w:rPr>
      </w:pPr>
      <w:r>
        <w:rPr>
          <w:sz w:val="20"/>
          <w:szCs w:val="20"/>
        </w:rPr>
        <w:t>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код раскрывается или распространяется в форме исходного кода или (ii) другие лица имеют право его изменять.</w:t>
      </w:r>
    </w:p>
    <w:p w:rsidR="001F5B04" w:rsidRDefault="0065335A" w:rsidP="00A920A1">
      <w:pPr>
        <w:pStyle w:val="Heading1"/>
        <w:tabs>
          <w:tab w:val="clear" w:pos="810"/>
          <w:tab w:val="num" w:pos="450"/>
        </w:tabs>
        <w:ind w:left="447"/>
        <w:rPr>
          <w:b w:val="0"/>
        </w:rPr>
      </w:pPr>
      <w:r>
        <w:t>ДАННЫЕ</w:t>
      </w:r>
      <w:r>
        <w:rPr>
          <w:b w:val="0"/>
        </w:rPr>
        <w:t xml:space="preserve">. </w:t>
      </w:r>
    </w:p>
    <w:p w:rsidR="0009229E" w:rsidRDefault="00E41D76" w:rsidP="001F5B04">
      <w:pPr>
        <w:pStyle w:val="Heading2"/>
        <w:widowControl w:val="0"/>
        <w:rPr>
          <w:b w:val="0"/>
        </w:rPr>
      </w:pPr>
      <w:r>
        <w:t>Сбор данных.</w:t>
      </w:r>
      <w:r>
        <w:rPr>
          <w:b w:val="0"/>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Microsoft.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w:t>
      </w:r>
      <w:r>
        <w:rPr>
          <w:b w:val="0"/>
          <w:color w:val="000000"/>
        </w:rPr>
        <w:t>также есть некоторые функции, которые могут позволить вам и Microsoft собирать данные у пользователей ваших приложений</w:t>
      </w:r>
      <w:r>
        <w:rPr>
          <w:b w:val="0"/>
        </w:rPr>
        <w:t xml:space="preserve">. Если вы используете эти функции, вы должны соблюдать применимое </w:t>
      </w:r>
      <w:r>
        <w:rPr>
          <w:b w:val="0"/>
        </w:rPr>
        <w:lastRenderedPageBreak/>
        <w:t xml:space="preserve">законодательство, в том числе предоставлять соответствующие уведомления пользователям ваших приложений, а также должны предоставлять своим пользователям копию нашего заявления о конфиденциальности. Наше заявление о конфиденциальности находится по адресу </w:t>
      </w:r>
      <w:hyperlink r:id="rId12" w:history="1">
        <w:r>
          <w:rPr>
            <w:rStyle w:val="Hyperlink"/>
            <w:b w:val="0"/>
            <w:sz w:val="20"/>
            <w:szCs w:val="20"/>
          </w:rPr>
          <w:t>https://go.microsoft.com/fwlink/?LinkID=824704</w:t>
        </w:r>
      </w:hyperlink>
      <w:r>
        <w:rPr>
          <w:b w:val="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rsidR="001F5B04" w:rsidRPr="00A920A1" w:rsidRDefault="001F5B04" w:rsidP="00CA4130">
      <w:pPr>
        <w:pStyle w:val="Heading2"/>
        <w:widowControl w:val="0"/>
        <w:rPr>
          <w:b w:val="0"/>
        </w:rPr>
      </w:pPr>
      <w:r>
        <w:t>Обработка Персональных данных.</w:t>
      </w:r>
      <w:r>
        <w:rPr>
          <w:b w:val="0"/>
        </w:rPr>
        <w:t xml:space="preserve"> 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w:t>
      </w:r>
      <w:hyperlink r:id="rId13" w:history="1">
        <w:r>
          <w:rPr>
            <w:rStyle w:val="Hyperlink"/>
            <w:b w:val="0"/>
          </w:rPr>
          <w:t>http://go.microsoft.com/?linkid=9840733</w:t>
        </w:r>
      </w:hyperlink>
      <w:r>
        <w:rPr>
          <w:b w:val="0"/>
        </w:rPr>
        <w:t>.</w:t>
      </w:r>
    </w:p>
    <w:p w:rsidR="008113AA" w:rsidRPr="00A920A1" w:rsidRDefault="009A7A15" w:rsidP="00A920A1">
      <w:pPr>
        <w:pStyle w:val="Heading1"/>
        <w:tabs>
          <w:tab w:val="clear" w:pos="810"/>
          <w:tab w:val="num" w:pos="450"/>
        </w:tabs>
        <w:ind w:left="447"/>
        <w:rPr>
          <w:b w:val="0"/>
        </w:rPr>
      </w:pPr>
      <w:r>
        <w:t xml:space="preserve">ОБЛАСТЬ ДЕЙСТВИЯ ЛИЦЕНЗИИ. </w:t>
      </w:r>
      <w:r>
        <w:rPr>
          <w:b w:val="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Например, в Microsoft технически ограничили или отключили возможность расширения этого программного обеспечения, поэтому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других продуктов Visual Studio.</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Вы также не имеете права:</w:t>
      </w:r>
    </w:p>
    <w:p w:rsidR="008113AA" w:rsidRDefault="00F72057">
      <w:pPr>
        <w:pStyle w:val="Bullet2"/>
        <w:widowControl w:val="0"/>
        <w:rPr>
          <w:rFonts w:eastAsia="SimSun"/>
          <w:sz w:val="20"/>
          <w:szCs w:val="20"/>
        </w:rPr>
      </w:pPr>
      <w:r>
        <w:rPr>
          <w:sz w:val="20"/>
          <w:szCs w:val="20"/>
        </w:rPr>
        <w:t>пытаться обойти технические ограничения в программном обеспечении;</w:t>
      </w:r>
    </w:p>
    <w:p w:rsidR="008113AA" w:rsidRPr="00C42026" w:rsidRDefault="009A7A15">
      <w:pPr>
        <w:pStyle w:val="Bullet2"/>
        <w:widowControl w:val="0"/>
        <w:rPr>
          <w:rFonts w:eastAsia="SimSun"/>
          <w:sz w:val="20"/>
          <w:szCs w:val="20"/>
        </w:rPr>
      </w:pPr>
      <w:r>
        <w:rPr>
          <w:sz w:val="20"/>
          <w:szCs w:val="20"/>
        </w:rPr>
        <w:t xml:space="preserve">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w:t>
      </w:r>
      <w:r>
        <w:t>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F72057" w:rsidRPr="00C42026" w:rsidRDefault="00F72057">
      <w:pPr>
        <w:pStyle w:val="Bullet2"/>
        <w:widowControl w:val="0"/>
        <w:rPr>
          <w:rFonts w:eastAsia="SimSun"/>
          <w:sz w:val="20"/>
          <w:szCs w:val="20"/>
        </w:rPr>
      </w:pPr>
      <w:r>
        <w:t>удалять, уменьшать, блокировать или изменять любые уведомления от Microsoft или ее поставщиков в программном обеспечении;</w:t>
      </w:r>
    </w:p>
    <w:p w:rsidR="00F72057" w:rsidRDefault="00F72057">
      <w:pPr>
        <w:pStyle w:val="Bullet2"/>
        <w:widowControl w:val="0"/>
        <w:rPr>
          <w:rFonts w:eastAsia="SimSun"/>
          <w:sz w:val="20"/>
          <w:szCs w:val="20"/>
        </w:rPr>
      </w:pPr>
      <w:r>
        <w:t>использовать программное обеспечение каким-либо противозаконным способом;</w:t>
      </w:r>
    </w:p>
    <w:p w:rsidR="005D6CBC" w:rsidRDefault="00FE67BA">
      <w:pPr>
        <w:pStyle w:val="Bullet2"/>
        <w:widowControl w:val="0"/>
        <w:rPr>
          <w:rFonts w:eastAsia="SimSun"/>
          <w:sz w:val="20"/>
          <w:szCs w:val="20"/>
        </w:rPr>
      </w:pPr>
      <w:r>
        <w:rPr>
          <w:sz w:val="20"/>
          <w:szCs w:val="20"/>
        </w:rPr>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rsidR="003807C8" w:rsidRPr="00A920A1" w:rsidRDefault="003807C8" w:rsidP="00A920A1">
      <w:pPr>
        <w:pStyle w:val="Heading1"/>
        <w:tabs>
          <w:tab w:val="clear" w:pos="810"/>
          <w:tab w:val="num" w:pos="450"/>
        </w:tabs>
        <w:ind w:left="447"/>
      </w:pPr>
      <w:r>
        <w:t xml:space="preserve">УСЛУГИ ТЕХНИЧЕСКОЙ ПОДДЕРЖКИ. </w:t>
      </w:r>
      <w:r>
        <w:rPr>
          <w:b w:val="0"/>
        </w:rPr>
        <w:t>Так как это программное обеспечение предоставляется «как есть», Acompli может не предоставлять услуг по его технической поддержке.</w:t>
      </w:r>
    </w:p>
    <w:p w:rsidR="003807C8" w:rsidRPr="00A920A1" w:rsidRDefault="003807C8" w:rsidP="00A920A1">
      <w:pPr>
        <w:pStyle w:val="Heading1"/>
        <w:tabs>
          <w:tab w:val="clear" w:pos="810"/>
          <w:tab w:val="num" w:pos="450"/>
        </w:tabs>
        <w:ind w:left="447"/>
        <w:rPr>
          <w:b w:val="0"/>
        </w:rPr>
      </w:pPr>
      <w:r>
        <w:t xml:space="preserve">ПОЛНОТА СОГЛАШЕНИЯ. </w:t>
      </w:r>
      <w:r>
        <w:rPr>
          <w:b w:val="0"/>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ОГРАНИЧЕНИЯ, СВЯЗАННЫЕ С ЭКСПОРТОМ. </w:t>
      </w:r>
      <w:r>
        <w:rPr>
          <w:b w:val="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w:t>
      </w:r>
      <w:r>
        <w:rPr>
          <w:b w:val="0"/>
        </w:rPr>
        <w:lastRenderedPageBreak/>
        <w:t xml:space="preserve">использования. Для получения дополнительной информации относительно ограничений, связанных с экспортом, посетите сайт </w:t>
      </w:r>
      <w:hyperlink w:history="1">
        <w:r>
          <w:rPr>
            <w:rStyle w:val="Hyperlink"/>
            <w:b w:val="0"/>
            <w:bCs w:val="0"/>
            <w:sz w:val="20"/>
            <w:szCs w:val="20"/>
          </w:rPr>
          <w:t>www.microsoft.com/exporting</w:t>
        </w:r>
      </w:hyperlink>
      <w:r>
        <w:rPr>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Pr>
          <w:caps/>
          <w:sz w:val="20"/>
          <w:szCs w:val="20"/>
        </w:rPr>
        <w:t>Применимое право</w:t>
      </w:r>
      <w:r>
        <w:rPr>
          <w:sz w:val="20"/>
          <w:szCs w:val="20"/>
        </w:rPr>
        <w:t>.</w:t>
      </w:r>
      <w:r>
        <w:rPr>
          <w:b w:val="0"/>
          <w:bCs w:val="0"/>
          <w:sz w:val="20"/>
          <w:szCs w:val="20"/>
        </w:rPr>
        <w:t xml:space="preserve"> 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853C20" w:rsidRPr="00E14A13" w:rsidRDefault="00853C20" w:rsidP="00FF4AE5">
      <w:pPr>
        <w:pStyle w:val="Heading1"/>
        <w:tabs>
          <w:tab w:val="clear" w:pos="810"/>
          <w:tab w:val="num" w:pos="450"/>
        </w:tabs>
        <w:ind w:left="447"/>
        <w:rPr>
          <w:b w:val="0"/>
        </w:rPr>
      </w:pPr>
      <w:r>
        <w:t xml:space="preserve">ПРАВА ПОТРЕБИТЕЛЕЙ, РЕГИОНАЛЬНЫЕ ОТЛИЧИЯ. </w:t>
      </w:r>
      <w:r>
        <w:rPr>
          <w:b w:val="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rsidR="00853C20" w:rsidRPr="00E14A13" w:rsidRDefault="00853C20" w:rsidP="00A75156">
      <w:pPr>
        <w:pStyle w:val="Heading2"/>
        <w:numPr>
          <w:ilvl w:val="0"/>
          <w:numId w:val="13"/>
        </w:numPr>
        <w:rPr>
          <w:b w:val="0"/>
        </w:rPr>
      </w:pPr>
      <w:r>
        <w:t xml:space="preserve">Австралия. </w:t>
      </w:r>
      <w:r>
        <w:rPr>
          <w:b w:val="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853C20" w:rsidRPr="00E14A13" w:rsidRDefault="00853C20" w:rsidP="00A75156">
      <w:pPr>
        <w:pStyle w:val="Heading2"/>
        <w:numPr>
          <w:ilvl w:val="0"/>
          <w:numId w:val="13"/>
        </w:numPr>
        <w:rPr>
          <w:b w:val="0"/>
        </w:rPr>
      </w:pPr>
      <w:r>
        <w:t xml:space="preserve">Канада. </w:t>
      </w:r>
      <w:r>
        <w:rPr>
          <w:b w:val="0"/>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853C20" w:rsidRPr="00E14A13" w:rsidRDefault="00853C20" w:rsidP="00A75156">
      <w:pPr>
        <w:pStyle w:val="Heading2"/>
        <w:numPr>
          <w:ilvl w:val="0"/>
          <w:numId w:val="13"/>
        </w:numPr>
        <w:rPr>
          <w:b w:val="0"/>
        </w:rPr>
      </w:pPr>
      <w:r>
        <w:t>Германия и Австрия</w:t>
      </w:r>
      <w:r>
        <w:rPr>
          <w:b w:val="0"/>
        </w:rPr>
        <w:t>.</w:t>
      </w:r>
    </w:p>
    <w:p w:rsidR="00853C20" w:rsidRPr="00E14A13" w:rsidRDefault="00853C20" w:rsidP="00853C20">
      <w:pPr>
        <w:ind w:left="717"/>
      </w:pPr>
      <w:r>
        <w:rPr>
          <w:b/>
        </w:rPr>
        <w:t>(i)</w:t>
      </w:r>
      <w:r>
        <w:tab/>
      </w:r>
      <w:r>
        <w:rPr>
          <w:b/>
        </w:rPr>
        <w:t>Гарантия</w:t>
      </w:r>
      <w:r>
        <w:t>.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rsidR="00853C20" w:rsidRPr="00E14A13" w:rsidRDefault="00853C20" w:rsidP="00853C20">
      <w:pPr>
        <w:ind w:left="717"/>
      </w:pPr>
      <w:r>
        <w:rPr>
          <w:b/>
        </w:rPr>
        <w:t>(ii)</w:t>
      </w:r>
      <w:r>
        <w:tab/>
      </w:r>
      <w:r>
        <w:rPr>
          <w:b/>
        </w:rPr>
        <w:t>Ограничение ответственности</w:t>
      </w:r>
      <w:r>
        <w:t>.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853C20" w:rsidRPr="00E14A13" w:rsidRDefault="00853C20" w:rsidP="00853C20">
      <w:pPr>
        <w:pStyle w:val="Heading1"/>
        <w:numPr>
          <w:ilvl w:val="0"/>
          <w:numId w:val="0"/>
        </w:numPr>
        <w:ind w:left="717"/>
        <w:rPr>
          <w:b w:val="0"/>
        </w:rPr>
      </w:pPr>
      <w:r>
        <w:rPr>
          <w:b w:val="0"/>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Заявление об отказе от предоставления гарантий.</w:t>
      </w:r>
      <w:r>
        <w:rPr>
          <w:sz w:val="20"/>
          <w:szCs w:val="20"/>
        </w:rPr>
        <w:t xml:space="preserve"> </w:t>
      </w:r>
      <w:r>
        <w:rPr>
          <w:caps/>
          <w:sz w:val="20"/>
          <w:szCs w:val="20"/>
        </w:rPr>
        <w:t>Программное обеспечение предоставляется «как есть». Вы принимаете на себя весь риск, связанный с его использованием.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подразумеваемые гарантии товарной пригодности, пригодности к использованию для определенной цели и отсутствие нарушений.</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lastRenderedPageBreak/>
        <w:t>Ограничение и исключение ответственности за убытки и ущерб. Вы можете получить от Microsoft и ее поставщиков компенсацию исключительно прямых убытков на сумму до 5,00 долл.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8113AA" w:rsidRPr="00DC582F" w:rsidRDefault="009A7A15" w:rsidP="00FF4AE5">
      <w:pPr>
        <w:pStyle w:val="Body1"/>
        <w:widowControl w:val="0"/>
        <w:ind w:left="450" w:firstLine="3"/>
        <w:rPr>
          <w:rFonts w:eastAsia="SimSun"/>
          <w:sz w:val="20"/>
          <w:szCs w:val="20"/>
        </w:rPr>
      </w:pPr>
      <w:r>
        <w:rPr>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8113AA" w:rsidRDefault="009A7A15" w:rsidP="00FF4AE5">
      <w:pPr>
        <w:widowControl w:val="0"/>
        <w:ind w:left="450"/>
        <w:rPr>
          <w:rFonts w:eastAsia="SimSun"/>
          <w:sz w:val="20"/>
          <w:szCs w:val="20"/>
        </w:rPr>
      </w:pPr>
      <w:r>
        <w:rPr>
          <w:sz w:val="20"/>
          <w:szCs w:val="20"/>
        </w:rPr>
        <w:t>Это ограничение действует даже в случае, если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t xml:space="preserve">  EULAID: </w:t>
      </w:r>
      <w:r>
        <w:t>VS2017_RTW.2_VSEXPRESS_</w:t>
      </w:r>
      <w:r w:rsidR="001C14C4">
        <w:rPr>
          <w:lang w:val="en-US"/>
        </w:rPr>
        <w:t>RUS</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C14C4"/>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A8E6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ru-RU" w:eastAsia="en-US"/>
    </w:rPr>
  </w:style>
  <w:style w:type="character" w:customStyle="1" w:styleId="Body3Char">
    <w:name w:val="Body 3 Char"/>
    <w:basedOn w:val="DefaultParagraphFont"/>
    <w:uiPriority w:val="99"/>
    <w:rPr>
      <w:rFonts w:ascii="Tahoma" w:hAnsi="Tahoma" w:cs="Tahoma"/>
      <w:lang w:val="ru-RU" w:eastAsia="en-US"/>
    </w:rPr>
  </w:style>
  <w:style w:type="character" w:customStyle="1" w:styleId="Body4Char">
    <w:name w:val="Body 4 Char"/>
    <w:basedOn w:val="DefaultParagraphFont"/>
    <w:uiPriority w:val="99"/>
    <w:rPr>
      <w:rFonts w:ascii="Tahoma" w:hAnsi="Tahoma" w:cs="Tahoma"/>
      <w:lang w:val="ru-RU" w:eastAsia="en-US"/>
    </w:rPr>
  </w:style>
  <w:style w:type="character" w:customStyle="1" w:styleId="Body1Char">
    <w:name w:val="Body 1 Char"/>
    <w:basedOn w:val="DefaultParagraphFont"/>
    <w:uiPriority w:val="99"/>
    <w:rPr>
      <w:rFonts w:ascii="Tahoma" w:hAnsi="Tahoma" w:cs="Tahoma"/>
      <w:lang w:val="ru-RU"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ru-RU"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F39707F-1245-4D0E-A86D-7F2D64EB48C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37499</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