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EA7" w:rsidRPr="00C45CAE" w:rsidRDefault="00E47200">
      <w:pPr>
        <w:pStyle w:val="HeadingEULA"/>
        <w:widowControl w:val="0"/>
        <w:rPr>
          <w:rFonts w:eastAsia="SimSun"/>
          <w:sz w:val="20"/>
          <w:szCs w:val="20"/>
        </w:rPr>
      </w:pPr>
      <w:r>
        <w:rPr>
          <w:sz w:val="20"/>
          <w:szCs w:val="20"/>
        </w:rPr>
        <w:t>MICROSOFT-SOFTWARE-LIZENZBESTIMMUNGEN</w:t>
      </w:r>
    </w:p>
    <w:p w:rsidR="00F15EA7" w:rsidRPr="00C45CAE" w:rsidRDefault="00E47200">
      <w:pPr>
        <w:pStyle w:val="HeadingSoftwareTitle"/>
        <w:widowControl w:val="0"/>
        <w:rPr>
          <w:rFonts w:eastAsia="SimSun"/>
          <w:sz w:val="20"/>
          <w:szCs w:val="20"/>
        </w:rPr>
      </w:pPr>
      <w:r>
        <w:rPr>
          <w:sz w:val="20"/>
          <w:szCs w:val="20"/>
        </w:rPr>
        <w:t xml:space="preserve">MICROSOFT VISUAL STUDIO 2017 TOOLS, ADD-ONs und ERWEITERUNGEN  </w:t>
      </w:r>
    </w:p>
    <w:p w:rsidR="00F15EA7" w:rsidRPr="00C45CAE" w:rsidRDefault="00E47200">
      <w:pPr>
        <w:pStyle w:val="Preamble"/>
        <w:widowControl w:val="0"/>
        <w:rPr>
          <w:rFonts w:eastAsia="SimSun"/>
          <w:b w:val="0"/>
          <w:bCs w:val="0"/>
          <w:sz w:val="20"/>
          <w:szCs w:val="20"/>
        </w:rPr>
      </w:pPr>
      <w:r>
        <w:rPr>
          <w:b w:val="0"/>
          <w:bCs w:val="0"/>
          <w:sz w:val="20"/>
          <w:szCs w:val="20"/>
        </w:rPr>
        <w:t>Diese Lizenzbestimmungen sind ein Vertrag zwischen Ihnen und der Microsoft Corporation (bzw. abhängig von Ihrem Wohnsitz einem mit Microsoft verbundenen Unternehmen). Sie gelten für die oben angeführte Software. Die Bestimmungen gelten ebenso für jegliche von Microsoft angebotenen Dienste oder Updates für die Software, sofern diesen keine anderen Bestimmungen beiliegen.</w:t>
      </w:r>
    </w:p>
    <w:p w:rsidR="00F15EA7" w:rsidRPr="00C45CAE" w:rsidRDefault="00E47200">
      <w:pPr>
        <w:pStyle w:val="PreambleBorderAbove"/>
        <w:widowControl w:val="0"/>
        <w:rPr>
          <w:rFonts w:eastAsia="SimSun"/>
          <w:sz w:val="20"/>
          <w:szCs w:val="20"/>
        </w:rPr>
      </w:pPr>
      <w:r>
        <w:rPr>
          <w:sz w:val="20"/>
          <w:szCs w:val="20"/>
        </w:rPr>
        <w:t>SOFERN SIE DIESE LIZENZBESTIMMUNGEN EINHALTEN, SIND SIE ZU FOLGENDEM BERECHTIGT:</w:t>
      </w:r>
    </w:p>
    <w:p w:rsidR="00B406AF" w:rsidRPr="00C45CAE" w:rsidRDefault="00E47200">
      <w:pPr>
        <w:pStyle w:val="Heading1"/>
        <w:widowControl w:val="0"/>
        <w:rPr>
          <w:rFonts w:eastAsia="SimSun"/>
          <w:b w:val="0"/>
          <w:bCs w:val="0"/>
          <w:sz w:val="20"/>
          <w:szCs w:val="20"/>
        </w:rPr>
      </w:pPr>
      <w:r>
        <w:rPr>
          <w:sz w:val="20"/>
          <w:szCs w:val="20"/>
        </w:rPr>
        <w:t xml:space="preserve">RECHTE ZUR INSTALLATION UND NUTZUNG. </w:t>
      </w:r>
    </w:p>
    <w:p w:rsidR="00F15EA7" w:rsidRPr="00C45CAE" w:rsidRDefault="00E47200" w:rsidP="00B23DFB">
      <w:pPr>
        <w:pStyle w:val="Heading2"/>
        <w:numPr>
          <w:ilvl w:val="0"/>
          <w:numId w:val="0"/>
        </w:numPr>
        <w:ind w:left="357"/>
        <w:rPr>
          <w:rStyle w:val="Body2Char"/>
          <w:rFonts w:eastAsia="SimSun"/>
          <w:b w:val="0"/>
          <w:bCs w:val="0"/>
          <w:sz w:val="20"/>
          <w:szCs w:val="20"/>
        </w:rPr>
      </w:pPr>
      <w:r>
        <w:rPr>
          <w:rStyle w:val="Body2Char"/>
          <w:b w:val="0"/>
          <w:bCs w:val="0"/>
          <w:sz w:val="20"/>
          <w:szCs w:val="20"/>
        </w:rPr>
        <w:t>Sie sind berechtigt, eine beliebige Anzahl von Kopien der Software zu installieren und zu verwenden.</w:t>
      </w:r>
    </w:p>
    <w:p w:rsidR="0054177A" w:rsidRPr="00C45CAE" w:rsidRDefault="0054177A">
      <w:pPr>
        <w:pStyle w:val="Heading1"/>
        <w:widowControl w:val="0"/>
        <w:rPr>
          <w:rStyle w:val="Body2Char"/>
          <w:rFonts w:eastAsia="SimSun"/>
          <w:b w:val="0"/>
          <w:bCs w:val="0"/>
          <w:sz w:val="20"/>
          <w:szCs w:val="20"/>
        </w:rPr>
      </w:pPr>
      <w:r>
        <w:rPr>
          <w:sz w:val="20"/>
          <w:szCs w:val="20"/>
        </w:rPr>
        <w:t>BESTIMMUNGEN FÜR SPEZIFISCHE KOMPONENTEN.</w:t>
      </w:r>
    </w:p>
    <w:p w:rsidR="00585893" w:rsidRPr="00A44DF6" w:rsidRDefault="00585893" w:rsidP="0054177A">
      <w:pPr>
        <w:pStyle w:val="Heading2"/>
        <w:rPr>
          <w:rFonts w:eastAsia="SimSun"/>
          <w:b w:val="0"/>
          <w:sz w:val="20"/>
          <w:szCs w:val="20"/>
        </w:rPr>
      </w:pPr>
      <w:r>
        <w:rPr>
          <w:sz w:val="20"/>
          <w:szCs w:val="20"/>
        </w:rPr>
        <w:t xml:space="preserve">Dienstprogramme. </w:t>
      </w:r>
      <w:r>
        <w:rPr>
          <w:b w:val="0"/>
          <w:sz w:val="20"/>
          <w:szCs w:val="20"/>
        </w:rPr>
        <w:t xml:space="preserve">Die Software enthält möglicherweise einige Einträge aus der Liste der Liste der Dienstprogramme unter </w:t>
      </w:r>
      <w:hyperlink r:id="rId8" w:history="1">
        <w:r>
          <w:rPr>
            <w:rStyle w:val="Hyperlink"/>
            <w:b w:val="0"/>
            <w:sz w:val="20"/>
            <w:szCs w:val="20"/>
          </w:rPr>
          <w:t>https://go.microsoft.com/fwlink/?linkid=823097</w:t>
        </w:r>
      </w:hyperlink>
      <w:r>
        <w:rPr>
          <w:b w:val="0"/>
          <w:sz w:val="20"/>
          <w:szCs w:val="20"/>
        </w:rPr>
        <w:t xml:space="preserve">.   Sie sind berechtigt, diese Dienstprogramme, sofern diese im Lieferumfang der Software enthalten sind, auf Geräte zu kopieren und dort zu installieren, um Ihre Anwendungen und Datenbanken, die Sie mit der Software entwickeln, zu debuggen und bereitzustellen. </w:t>
      </w:r>
      <w:r>
        <w:rPr>
          <w:b w:val="0"/>
          <w:bCs w:val="0"/>
          <w:sz w:val="20"/>
          <w:szCs w:val="20"/>
        </w:rPr>
        <w:t xml:space="preserve">Bitte beachten Sie, dass Dienstprogramme für eine temporäre Nutzung vorgesehen sind, dass Microsoft möglicherweise nicht in der Lage ist, Dienstprogramme getrennt von der übrigen Software zu reparieren oder zu aktualisieren, und dass einige Dienstprogramme aufgrund ihrer Natur es anderen ermöglichen, auf Geräte zuzugreifen, auf denen diese Dienstprogramme installiert sind. Dementsprechend sollten Sie nach dem Abschluss des Debuggens oder der Bereitstellung Ihrer Anwendungen und Datenbanken alle Dienstprogramme löschen.  </w:t>
      </w:r>
      <w:r>
        <w:rPr>
          <w:b w:val="0"/>
          <w:sz w:val="20"/>
          <w:szCs w:val="20"/>
        </w:rPr>
        <w:t>Microsoft ist nicht für die Verwendung oder den Zugriff von Dritten auf die Dienstprogramme verantwortlich, die Sie auf einem beliebigen Gerät installieren.</w:t>
      </w:r>
    </w:p>
    <w:p w:rsidR="00A44DF6" w:rsidRPr="00C45CAE" w:rsidRDefault="00A44DF6" w:rsidP="0054177A">
      <w:pPr>
        <w:pStyle w:val="Heading2"/>
        <w:rPr>
          <w:rFonts w:eastAsia="SimSun"/>
          <w:b w:val="0"/>
          <w:sz w:val="20"/>
          <w:szCs w:val="20"/>
        </w:rPr>
      </w:pPr>
      <w:r>
        <w:t>Buildtools.</w:t>
      </w:r>
      <w:r>
        <w:rPr>
          <w:b w:val="0"/>
        </w:rPr>
        <w:t xml:space="preserve">  Die Software kann Buildtools enthalten, die spezifischen Nutzungsbestimmungen unterliegen.   Für Buildtools können Sie Dateien von der Software auf Ihre Build-Geräte kopieren und installieren, einschließlich physischer Geräte und virtueller Maschinen oder Container auf diesen Maschinen, ob lokale oder Remote-Maschinen, die Ihnen gehören, in Azure für Sie gehostet werden oder ausschließlich Ihnen zur Verwendung stehen (hier „Build-Geräte“).  Sie und andere Mitglieder Ihrer Organisation können diese Dateien auf Ihren Build-Geräten ausschließlich zum Kompilieren, Erstellen und Überprüfen von Anwendungen oder zum Ausführen von Qualitäts- oder Leistungstests dieser Anwendungen als Teil des Build-Prozesses verwenden.</w:t>
      </w:r>
      <w:r>
        <w:rPr>
          <w:b w:val="0"/>
          <w:bCs w:val="0"/>
        </w:rPr>
        <w:t xml:space="preserve">  Zum besseren Verständnis sind „Anwendungen“ von Ihnen und anderen Personen in Ihrem Unternehmen entwickelte Anwendungen, die jeweils für die Nutzung der Software lizenziert sind.</w:t>
      </w:r>
    </w:p>
    <w:p w:rsidR="0054177A" w:rsidRPr="00C45CAE" w:rsidRDefault="0054177A" w:rsidP="0054177A">
      <w:pPr>
        <w:pStyle w:val="Heading2"/>
        <w:rPr>
          <w:rFonts w:eastAsia="SimSun"/>
          <w:b w:val="0"/>
          <w:sz w:val="20"/>
          <w:szCs w:val="20"/>
        </w:rPr>
      </w:pPr>
      <w:r>
        <w:rPr>
          <w:sz w:val="20"/>
          <w:szCs w:val="20"/>
        </w:rPr>
        <w:t xml:space="preserve">Microsoft Plattformen.  </w:t>
      </w:r>
      <w:r>
        <w:rPr>
          <w:b w:val="0"/>
          <w:sz w:val="20"/>
          <w:szCs w:val="20"/>
        </w:rPr>
        <w:t>Die Software kann Komponenten aus Microsoft Windows, Microsoft Windows Server, Microsoft SQL Server, Microsoft Exchange, Microsoft Office und Microsoft SharePoint enthalten. Diese Komponenten unterliegen gesonderten Vereinbarungen und eigenen Produkt-Support-Richtlinien, die im Microsoft-Ordner „Lizenzen“ der Software beschrieben sind, welche zur Anwendung kommen, ausgenommen die Lizenzbedingungen für diese Komponenten sind im zugehörigen Installationsverzeichnis enthalten.</w:t>
      </w:r>
    </w:p>
    <w:p w:rsidR="0011022C" w:rsidRDefault="0011022C" w:rsidP="0011022C">
      <w:pPr>
        <w:pStyle w:val="Heading2"/>
        <w:rPr>
          <w:b w:val="0"/>
          <w:sz w:val="20"/>
          <w:szCs w:val="20"/>
        </w:rPr>
      </w:pPr>
      <w:r>
        <w:rPr>
          <w:sz w:val="20"/>
          <w:szCs w:val="20"/>
        </w:rPr>
        <w:t xml:space="preserve">Komponenten von Dritten.  </w:t>
      </w:r>
      <w:r>
        <w:rPr>
          <w:b w:val="0"/>
          <w:sz w:val="20"/>
          <w:szCs w:val="20"/>
        </w:rPr>
        <w:t xml:space="preserve">Diese Software kann Komponenten Dritter enthalten, die gesonderten rechtlichen Anmerkungen oder anderen Verträgen unterliegen, wie in den der Software beiliegenden ThirdPartyNotices-Dateien ggf. beschrieben ist.  </w:t>
      </w:r>
    </w:p>
    <w:p w:rsidR="00282039" w:rsidRPr="00282039" w:rsidRDefault="0054177A">
      <w:pPr>
        <w:pStyle w:val="Heading1"/>
        <w:widowControl w:val="0"/>
        <w:rPr>
          <w:b w:val="0"/>
          <w:sz w:val="20"/>
          <w:szCs w:val="20"/>
        </w:rPr>
      </w:pPr>
      <w:r>
        <w:rPr>
          <w:sz w:val="20"/>
          <w:szCs w:val="20"/>
        </w:rPr>
        <w:t xml:space="preserve">DATEN.  </w:t>
      </w:r>
    </w:p>
    <w:p w:rsidR="0054177A" w:rsidRDefault="00282039" w:rsidP="00282039">
      <w:pPr>
        <w:pStyle w:val="Heading2"/>
        <w:rPr>
          <w:b w:val="0"/>
          <w:sz w:val="20"/>
          <w:szCs w:val="20"/>
        </w:rPr>
      </w:pPr>
      <w:r>
        <w:rPr>
          <w:sz w:val="20"/>
          <w:szCs w:val="20"/>
        </w:rPr>
        <w:t>Datenerfassung.</w:t>
      </w:r>
      <w:r>
        <w:rPr>
          <w:b w:val="0"/>
          <w:sz w:val="20"/>
          <w:szCs w:val="20"/>
        </w:rPr>
        <w:t xml:space="preserve"> Die Software erhebt möglicherweise Informationen über Sie und Ihre Verwendung der Software und sendet sie an Microsoft. Microsoft kann diese Informationen verwenden, um unsere Produkte und Dienste bereitzustellen und zu verbessern.  Sie können sich gegen viele dieser Szenarios entscheiden, jedoch nicht gegen alle, wie in der Produktdokumentation beschrieben.  Die Software enthält a</w:t>
      </w:r>
      <w:r>
        <w:rPr>
          <w:b w:val="0"/>
          <w:color w:val="000000"/>
          <w:sz w:val="20"/>
          <w:szCs w:val="20"/>
        </w:rPr>
        <w:t>uch einige Features, mit denen Sie und Microsoft möglicherweise Informationen über die Nutzer Ihrer Anwendung sammeln können.</w:t>
      </w:r>
      <w:r>
        <w:rPr>
          <w:b w:val="0"/>
          <w:sz w:val="20"/>
          <w:szCs w:val="20"/>
        </w:rPr>
        <w:t xml:space="preserve"> IWenn Sie diese Funktionen verwenden, müssen Sie geltendes Recht einhalten, einschließlich die entsprechenden Benutzerhinweise Ihrer Anwendungen. Sie sollten außerdem den Benutzern eine Kopie der Datenschutzerklärung von Microsoft zur Verfügung stellen.</w:t>
      </w:r>
      <w:r>
        <w:rPr>
          <w:b w:val="0"/>
          <w:color w:val="000000"/>
          <w:sz w:val="20"/>
          <w:szCs w:val="20"/>
        </w:rPr>
        <w:t xml:space="preserve"> Die Microsoft-Datenschutzerklärung finden Sie unter</w:t>
      </w:r>
      <w:r>
        <w:rPr>
          <w:b w:val="0"/>
          <w:color w:val="000000"/>
        </w:rPr>
        <w:t xml:space="preserve"> </w:t>
      </w:r>
      <w:hyperlink r:id="rId9" w:history="1">
        <w:r>
          <w:rPr>
            <w:rStyle w:val="Hyperlink"/>
            <w:b w:val="0"/>
            <w:sz w:val="20"/>
            <w:szCs w:val="20"/>
          </w:rPr>
          <w:t>https://go.microsoft.com/fwlink/?LinkID=824704</w:t>
        </w:r>
      </w:hyperlink>
      <w:r>
        <w:rPr>
          <w:b w:val="0"/>
          <w:sz w:val="20"/>
          <w:szCs w:val="20"/>
        </w:rPr>
        <w:t>. Sie können mehr über Datensammlung und Datennutzung in der Hilfedokumentation und in unserer Datenschutzerklärung erfahren. Durch die Nutzung der Software erklären Sie sich mit diesen Praktiken einverstanden.</w:t>
      </w:r>
    </w:p>
    <w:p w:rsidR="00282039" w:rsidRPr="00C45CAE" w:rsidRDefault="00282039" w:rsidP="00282039">
      <w:pPr>
        <w:pStyle w:val="Heading2"/>
        <w:rPr>
          <w:b w:val="0"/>
          <w:sz w:val="20"/>
          <w:szCs w:val="20"/>
        </w:rPr>
      </w:pPr>
      <w:r>
        <w:rPr>
          <w:sz w:val="20"/>
          <w:szCs w:val="20"/>
        </w:rPr>
        <w:t>Verarbeitung Personenbezogener Daten.</w:t>
      </w:r>
      <w:r>
        <w:rPr>
          <w:b w:val="0"/>
          <w:sz w:val="20"/>
          <w:szCs w:val="20"/>
        </w:rPr>
        <w:t xml:space="preserve"> Soweit Microsoft im Zusammenhang mit der Software als Auftragsverarbeiter oder Unterauftragsverarbeiter von personenbezogenen Daten auftritt, geht Microsoft zum 25. </w:t>
      </w:r>
      <w:r>
        <w:rPr>
          <w:b w:val="0"/>
          <w:sz w:val="20"/>
          <w:szCs w:val="20"/>
        </w:rPr>
        <w:lastRenderedPageBreak/>
        <w:t>Mai 2018 allen Kunden gegenüber die Verpflichtungen gemäß den in Anhang 4 der Bestimmungen für Onlinedienste enthaltenen Bestimmungen der Datenschutz-Grundverordnung der Europäischen Union ein. Siehe auch unter:</w:t>
      </w:r>
      <w:r>
        <w:rPr>
          <w:b w:val="0"/>
        </w:rPr>
        <w:t xml:space="preserve"> </w:t>
      </w:r>
      <w:hyperlink r:id="rId10" w:history="1">
        <w:r>
          <w:rPr>
            <w:rStyle w:val="Hyperlink"/>
            <w:b w:val="0"/>
          </w:rPr>
          <w:t>http://go.microsoft.com/?linkid=9840733</w:t>
        </w:r>
      </w:hyperlink>
      <w:r>
        <w:rPr>
          <w:b w:val="0"/>
        </w:rPr>
        <w:t>.</w:t>
      </w:r>
    </w:p>
    <w:p w:rsidR="00F15EA7" w:rsidRPr="00C45CAE" w:rsidRDefault="00E47200">
      <w:pPr>
        <w:pStyle w:val="Heading1"/>
        <w:widowControl w:val="0"/>
        <w:rPr>
          <w:rFonts w:eastAsia="SimSun"/>
          <w:b w:val="0"/>
          <w:bCs w:val="0"/>
          <w:sz w:val="20"/>
          <w:szCs w:val="20"/>
        </w:rPr>
      </w:pPr>
      <w:r>
        <w:rPr>
          <w:sz w:val="20"/>
          <w:szCs w:val="20"/>
        </w:rPr>
        <w:t>LIZENZUMFANG.</w:t>
      </w:r>
      <w:r>
        <w:rPr>
          <w:b w:val="0"/>
          <w:bCs w:val="0"/>
          <w:sz w:val="20"/>
          <w:szCs w:val="20"/>
        </w:rPr>
        <w:t xml:space="preserve"> Die Software wird lizenziert, nicht verkauft. Dieser Vertrag gewährt Ihnen lediglich bestimmte Rechte zur Nutzung der Software. Alle anderen Rechte verbleiben bei Microsoft. Sie dürfen die Software nur wie in diesem Vertrag ausdrücklich gestattet nutzen, es sei denn, anwendbares Recht gibt Ihnen ungeachtet dieser Einschränkung umfassendere Rechte. Dabei sind Sie verpflichtet, technische Beschränkungen zu beachten, die Ihnen die Nutzung der Software nur auf bestimmte Art und Weise ermöglichen. Sie sind nicht berechtigt,</w:t>
      </w:r>
    </w:p>
    <w:p w:rsidR="00F15EA7" w:rsidRPr="00C45CAE" w:rsidRDefault="00E47200">
      <w:pPr>
        <w:pStyle w:val="Bullet2"/>
        <w:widowControl w:val="0"/>
        <w:rPr>
          <w:rFonts w:eastAsia="SimSun"/>
          <w:sz w:val="20"/>
          <w:szCs w:val="20"/>
        </w:rPr>
      </w:pPr>
      <w:r>
        <w:rPr>
          <w:sz w:val="20"/>
          <w:szCs w:val="20"/>
        </w:rPr>
        <w:t>technische Beschränkungen der Software zu umgehen,</w:t>
      </w:r>
    </w:p>
    <w:p w:rsidR="00F15EA7" w:rsidRPr="005F767D" w:rsidRDefault="00E47200">
      <w:pPr>
        <w:pStyle w:val="Bullet2"/>
        <w:widowControl w:val="0"/>
        <w:rPr>
          <w:rFonts w:eastAsia="SimSun"/>
          <w:sz w:val="20"/>
          <w:szCs w:val="20"/>
        </w:rPr>
      </w:pPr>
      <w:r>
        <w:rPr>
          <w:sz w:val="20"/>
          <w:szCs w:val="20"/>
        </w:rPr>
        <w:t xml:space="preserve">die Software zurückzuentwickeln, zu dekompilieren oder zu disassemblieren </w:t>
      </w:r>
      <w:r>
        <w:t>oder anderweitig zu versuchen, den Quellcode für die Software abzuleiten,</w:t>
      </w:r>
      <w:r>
        <w:rPr>
          <w:sz w:val="20"/>
          <w:szCs w:val="20"/>
        </w:rPr>
        <w:t xml:space="preserve"> es sei denn, dass und nur insoweit dies aufgrund von Lizenzierungsbedingungen für Dritte vorgesehen ist, die die Verwendung von in der Software enthaltenen Open-Source-Komponenten regeln;</w:t>
      </w:r>
    </w:p>
    <w:p w:rsidR="00FD293A" w:rsidRPr="00C45CAE" w:rsidRDefault="00FD293A">
      <w:pPr>
        <w:pStyle w:val="Bullet2"/>
        <w:widowControl w:val="0"/>
        <w:rPr>
          <w:rFonts w:eastAsia="SimSun"/>
          <w:sz w:val="20"/>
          <w:szCs w:val="20"/>
        </w:rPr>
      </w:pPr>
      <w:r>
        <w:rPr>
          <w:sz w:val="20"/>
          <w:szCs w:val="20"/>
        </w:rPr>
        <w:t xml:space="preserve">Benachrichtigungen von Microsoft oder seinen Software-Lieferanten zu entfernen, blockieren oder zu ändern; </w:t>
      </w:r>
    </w:p>
    <w:p w:rsidR="000E462E" w:rsidRPr="00C45CAE" w:rsidRDefault="000E462E">
      <w:pPr>
        <w:pStyle w:val="Bullet2"/>
        <w:widowControl w:val="0"/>
        <w:rPr>
          <w:rFonts w:eastAsia="SimSun"/>
          <w:sz w:val="20"/>
          <w:szCs w:val="20"/>
        </w:rPr>
      </w:pPr>
      <w:r>
        <w:rPr>
          <w:sz w:val="20"/>
          <w:szCs w:val="20"/>
        </w:rPr>
        <w:t>die Software auf eine Weise zu verwenden, die gegen das Gesetz verstößt, oder</w:t>
      </w:r>
    </w:p>
    <w:p w:rsidR="00F15EA7" w:rsidRPr="00C45CAE" w:rsidRDefault="000E462E">
      <w:pPr>
        <w:pStyle w:val="Bullet2"/>
        <w:widowControl w:val="0"/>
        <w:rPr>
          <w:rFonts w:eastAsia="SimSun"/>
          <w:sz w:val="20"/>
          <w:szCs w:val="20"/>
        </w:rPr>
      </w:pPr>
      <w:r>
        <w:rPr>
          <w:sz w:val="20"/>
          <w:szCs w:val="20"/>
        </w:rPr>
        <w:t>die Software zu teilen, zu veröffentlichen, zu vermieten oder zu verleasen oder die Software als eigenständige, gehostete Lösung zur Nutzung durch andere bereitzustellen oder die Software oder diesen Vertrag an Dritte zu übertragen.</w:t>
      </w:r>
    </w:p>
    <w:p w:rsidR="00F15EA7" w:rsidRPr="00C45CAE" w:rsidRDefault="00E47200">
      <w:pPr>
        <w:pStyle w:val="Heading1"/>
        <w:widowControl w:val="0"/>
        <w:rPr>
          <w:rStyle w:val="Hyperlink"/>
          <w:rFonts w:eastAsia="SimSun" w:cs="Tahoma"/>
          <w:b w:val="0"/>
          <w:bCs w:val="0"/>
          <w:color w:val="auto"/>
          <w:sz w:val="20"/>
          <w:szCs w:val="20"/>
          <w:u w:val="none"/>
        </w:rPr>
      </w:pPr>
      <w:r>
        <w:rPr>
          <w:sz w:val="20"/>
          <w:szCs w:val="20"/>
        </w:rPr>
        <w:t>EXPORTBESCHRÄNKUNGEN.</w:t>
      </w:r>
      <w:r>
        <w:rPr>
          <w:b w:val="0"/>
          <w:bCs w:val="0"/>
          <w:sz w:val="20"/>
          <w:szCs w:val="20"/>
        </w:rPr>
        <w:t xml:space="preserve"> Sie müssen alle nationalen und internationalen Exportgesetze und -bestimmungen einhalten, die für die Software gelten, darunter Beschränkungen für Bestimmungsorte, Endbenutzer und Endnutzung. Weitere Informationen zu Exportbeschränkungen finden Sie unter: </w:t>
      </w:r>
      <w:hyperlink r:id="rId11" w:history="1">
        <w:r>
          <w:rPr>
            <w:rStyle w:val="Hyperlink"/>
            <w:b w:val="0"/>
            <w:bCs w:val="0"/>
            <w:sz w:val="20"/>
            <w:szCs w:val="20"/>
          </w:rPr>
          <w:t>www.microsoft.com/exporting</w:t>
        </w:r>
      </w:hyperlink>
      <w:r>
        <w:rPr>
          <w:b w:val="0"/>
          <w:bCs w:val="0"/>
          <w:sz w:val="20"/>
          <w:szCs w:val="20"/>
        </w:rPr>
        <w:t xml:space="preserve">. </w:t>
      </w:r>
    </w:p>
    <w:p w:rsidR="00F15EA7" w:rsidRPr="00C45CAE" w:rsidRDefault="00E47200">
      <w:pPr>
        <w:pStyle w:val="Heading1"/>
        <w:widowControl w:val="0"/>
        <w:rPr>
          <w:rFonts w:eastAsia="SimSun"/>
          <w:b w:val="0"/>
          <w:bCs w:val="0"/>
          <w:sz w:val="20"/>
          <w:szCs w:val="20"/>
        </w:rPr>
      </w:pPr>
      <w:r>
        <w:rPr>
          <w:sz w:val="20"/>
          <w:szCs w:val="20"/>
        </w:rPr>
        <w:t xml:space="preserve">SUPPORTDIENSTE. </w:t>
      </w:r>
      <w:r>
        <w:rPr>
          <w:b w:val="0"/>
          <w:bCs w:val="0"/>
          <w:sz w:val="20"/>
          <w:szCs w:val="20"/>
        </w:rPr>
        <w:t>Da diese Software „wie besehen“ bereitgestellt wird, stellen wir möglicherweise keine dedizierten Supportservices bereit.</w:t>
      </w:r>
    </w:p>
    <w:p w:rsidR="00F15EA7" w:rsidRPr="00C45CAE" w:rsidRDefault="00E47200">
      <w:pPr>
        <w:pStyle w:val="Heading1"/>
        <w:widowControl w:val="0"/>
        <w:rPr>
          <w:rFonts w:eastAsia="SimSun"/>
          <w:b w:val="0"/>
          <w:bCs w:val="0"/>
          <w:sz w:val="20"/>
          <w:szCs w:val="20"/>
        </w:rPr>
      </w:pPr>
      <w:r>
        <w:rPr>
          <w:sz w:val="20"/>
          <w:szCs w:val="20"/>
        </w:rPr>
        <w:t>GESAMTER VERTRAG.</w:t>
      </w:r>
      <w:r>
        <w:rPr>
          <w:b w:val="0"/>
          <w:bCs w:val="0"/>
          <w:sz w:val="20"/>
          <w:szCs w:val="20"/>
        </w:rPr>
        <w:t xml:space="preserve"> Dieser Vertrag sowie die Bestimmungen für von Ihnen genutzte Ergänzungen, Updates, internetbasierte Dienste und Supportservices stellen den gesamten Vertrag über die Software und die Supportservices dar.</w:t>
      </w:r>
    </w:p>
    <w:p w:rsidR="00F15EA7" w:rsidRPr="00C45CAE" w:rsidRDefault="00E47200">
      <w:pPr>
        <w:pStyle w:val="Heading1"/>
        <w:widowControl w:val="0"/>
        <w:ind w:left="360" w:hanging="360"/>
        <w:rPr>
          <w:rFonts w:eastAsia="SimSun"/>
          <w:sz w:val="20"/>
          <w:szCs w:val="20"/>
        </w:rPr>
      </w:pPr>
      <w:r>
        <w:rPr>
          <w:sz w:val="20"/>
          <w:szCs w:val="20"/>
        </w:rPr>
        <w:t xml:space="preserve">ANWENDBARES RECHT. </w:t>
      </w:r>
      <w:r>
        <w:rPr>
          <w:b w:val="0"/>
          <w:sz w:val="20"/>
          <w:szCs w:val="20"/>
        </w:rPr>
        <w:t>Wenn Sie die Software in den USA erworben haben, regeln die Gesetze des Bundesstaates Washington die Auslegung dieses Vertrags sowie Ansprüche, die aus einer Vertragsverletzung entstehen, und die Gesetze des Bundesstaates, in dem Sie leben, regeln alle anderen Ansprüche. Wenn Sie die Software in einem anderen Land erworben haben, gelten die Gesetze dieses Landes.</w:t>
      </w:r>
    </w:p>
    <w:p w:rsidR="00E400F3" w:rsidRPr="00E400F3" w:rsidRDefault="00E400F3" w:rsidP="00E400F3">
      <w:pPr>
        <w:pStyle w:val="Heading1"/>
        <w:tabs>
          <w:tab w:val="clear" w:pos="360"/>
          <w:tab w:val="num" w:pos="540"/>
        </w:tabs>
        <w:ind w:left="360" w:hanging="360"/>
        <w:rPr>
          <w:b w:val="0"/>
          <w:sz w:val="20"/>
          <w:szCs w:val="20"/>
        </w:rPr>
      </w:pPr>
      <w:r>
        <w:rPr>
          <w:sz w:val="20"/>
          <w:szCs w:val="20"/>
        </w:rPr>
        <w:t xml:space="preserve">VERBRAUCHERRECHTE; REGIONALE VARIATIONEN. </w:t>
      </w:r>
      <w:r>
        <w:rPr>
          <w:b w:val="0"/>
          <w:sz w:val="20"/>
          <w:szCs w:val="20"/>
        </w:rPr>
        <w:t>Dieser Vertrag beschreibt bestimmte gesetzliche Rechte. Möglicherweise sehen die Gesetze Ihres Staats oder Lands andere Rechte vor, einschließlich Verbraucherrechte. Möglicherweise verfügen Sie unabhängig von Ihrer Geschäftsbeziehung mit Microsoft außerdem über Rechte im Hinblick auf den Lizenzgeber, von dem Sie die Software erworben haben. Dieser Vertrag ändert diese anderen Rechte nicht, wenn die Gesetze Ihres Bundesstaates oder Lands dies nicht gestatten. Wenn Sie die Software beispielsweise in einer der unten genannten Regionen erworben haben oder zwingendes Recht des Lands Anwendung findet, gelten die folgenden Bestimmungen für Sie:</w:t>
      </w:r>
    </w:p>
    <w:p w:rsidR="00E400F3" w:rsidRPr="00E400F3" w:rsidRDefault="00E400F3" w:rsidP="00E400F3">
      <w:pPr>
        <w:pStyle w:val="Heading2"/>
        <w:numPr>
          <w:ilvl w:val="0"/>
          <w:numId w:val="15"/>
        </w:numPr>
        <w:rPr>
          <w:b w:val="0"/>
          <w:sz w:val="20"/>
          <w:szCs w:val="20"/>
        </w:rPr>
      </w:pPr>
      <w:r>
        <w:rPr>
          <w:sz w:val="20"/>
          <w:szCs w:val="20"/>
        </w:rPr>
        <w:t xml:space="preserve">Australien. </w:t>
      </w:r>
      <w:r>
        <w:rPr>
          <w:b w:val="0"/>
          <w:sz w:val="20"/>
          <w:szCs w:val="20"/>
        </w:rPr>
        <w:t>Nach dem Australian Consumer Law gelten gesetzliche Garantien, und es besteht an keiner Stelle dieses Vertrags die Absicht, diese Rechte einzuschränken.</w:t>
      </w:r>
    </w:p>
    <w:p w:rsidR="00E400F3" w:rsidRPr="00E400F3" w:rsidRDefault="00E400F3" w:rsidP="00E400F3">
      <w:pPr>
        <w:pStyle w:val="Heading2"/>
        <w:numPr>
          <w:ilvl w:val="0"/>
          <w:numId w:val="15"/>
        </w:numPr>
        <w:rPr>
          <w:b w:val="0"/>
          <w:sz w:val="20"/>
          <w:szCs w:val="20"/>
        </w:rPr>
      </w:pPr>
      <w:r>
        <w:rPr>
          <w:sz w:val="20"/>
          <w:szCs w:val="20"/>
        </w:rPr>
        <w:t xml:space="preserve">Kanada. </w:t>
      </w:r>
      <w:r>
        <w:rPr>
          <w:b w:val="0"/>
          <w:sz w:val="20"/>
          <w:szCs w:val="20"/>
        </w:rPr>
        <w:t>Sofern Sie diese Software in Kanada erwarben, können Sie ggf. den Empfang von Updates durch die Deaktivierung der automatischen Update-Funktion einstellen lassen bzw. durch die Trennung Ihres Gerätes vom Internet (sofern Sie das Gerät erneut anschließen, wird die Software weiterhin Updates aus dem Internet abfragen und zu installieren versuchen.) oder durch die De-Installierung der Software. Die Produktdokumentation, sofern vorhanden, enthält möglicherweise auch Anweisungen zum Ausschalten von Updates für Ihr Gerät bzw. Ihre Software.</w:t>
      </w:r>
    </w:p>
    <w:p w:rsidR="00E400F3" w:rsidRPr="00E400F3" w:rsidRDefault="00E400F3" w:rsidP="00E400F3">
      <w:pPr>
        <w:pStyle w:val="Heading2"/>
        <w:numPr>
          <w:ilvl w:val="0"/>
          <w:numId w:val="15"/>
        </w:numPr>
        <w:rPr>
          <w:b w:val="0"/>
          <w:sz w:val="20"/>
          <w:szCs w:val="20"/>
        </w:rPr>
      </w:pPr>
      <w:r>
        <w:rPr>
          <w:sz w:val="20"/>
          <w:szCs w:val="20"/>
        </w:rPr>
        <w:t>Deutschland und Österreich</w:t>
      </w:r>
      <w:r>
        <w:rPr>
          <w:b w:val="0"/>
          <w:sz w:val="20"/>
          <w:szCs w:val="20"/>
        </w:rPr>
        <w:t>.</w:t>
      </w:r>
    </w:p>
    <w:p w:rsidR="00E400F3" w:rsidRPr="00E400F3" w:rsidRDefault="00E400F3" w:rsidP="00E400F3">
      <w:pPr>
        <w:ind w:left="717"/>
        <w:rPr>
          <w:sz w:val="20"/>
          <w:szCs w:val="20"/>
        </w:rPr>
      </w:pPr>
      <w:r>
        <w:rPr>
          <w:b/>
          <w:sz w:val="20"/>
          <w:szCs w:val="20"/>
        </w:rPr>
        <w:t>(i)</w:t>
      </w:r>
      <w:r>
        <w:rPr>
          <w:sz w:val="20"/>
          <w:szCs w:val="20"/>
        </w:rPr>
        <w:tab/>
      </w:r>
      <w:r>
        <w:rPr>
          <w:b/>
          <w:sz w:val="20"/>
          <w:szCs w:val="20"/>
        </w:rPr>
        <w:t>Garantie</w:t>
      </w:r>
      <w:r>
        <w:rPr>
          <w:sz w:val="20"/>
          <w:szCs w:val="20"/>
        </w:rPr>
        <w:t>. Die ordnungsgemäß lizenzierte Software verhält sich im Wesentlichen wie in allen Microsoft-Materialien beschrieben, die der Software beiliegen. Microsoft übernimmt jedoch keine vertragliche Garantie in Bezug auf die lizenzierte Software.</w:t>
      </w:r>
    </w:p>
    <w:p w:rsidR="00E400F3" w:rsidRPr="00E400F3" w:rsidRDefault="00E400F3" w:rsidP="00E400F3">
      <w:pPr>
        <w:ind w:left="717"/>
        <w:rPr>
          <w:sz w:val="20"/>
          <w:szCs w:val="20"/>
        </w:rPr>
      </w:pPr>
      <w:r>
        <w:rPr>
          <w:b/>
          <w:sz w:val="20"/>
          <w:szCs w:val="20"/>
        </w:rPr>
        <w:t>(ii)</w:t>
      </w:r>
      <w:r>
        <w:rPr>
          <w:sz w:val="20"/>
          <w:szCs w:val="20"/>
        </w:rPr>
        <w:tab/>
      </w:r>
      <w:r>
        <w:rPr>
          <w:b/>
          <w:sz w:val="20"/>
          <w:szCs w:val="20"/>
        </w:rPr>
        <w:t>Haftungsbeschränkung</w:t>
      </w:r>
      <w:r>
        <w:rPr>
          <w:sz w:val="20"/>
          <w:szCs w:val="20"/>
        </w:rPr>
        <w:t>. Microsoft haftet gemäß dem zwingenden Recht bei Vorsatz, grober Fahrlässigkeit, Ansprüchen aus Produkthaftungsgesetz sowie Körperverletzung.</w:t>
      </w:r>
    </w:p>
    <w:p w:rsidR="00E400F3" w:rsidRPr="00E400F3" w:rsidRDefault="00E400F3" w:rsidP="00E400F3">
      <w:pPr>
        <w:pStyle w:val="Heading1"/>
        <w:numPr>
          <w:ilvl w:val="0"/>
          <w:numId w:val="0"/>
        </w:numPr>
        <w:ind w:left="717"/>
        <w:rPr>
          <w:b w:val="0"/>
          <w:sz w:val="20"/>
          <w:szCs w:val="20"/>
        </w:rPr>
      </w:pPr>
      <w:r>
        <w:rPr>
          <w:b w:val="0"/>
          <w:sz w:val="20"/>
          <w:szCs w:val="20"/>
        </w:rPr>
        <w:lastRenderedPageBreak/>
        <w:t>Vorbehaltlich der vorstehenden Klausel (ii) haftet Microsoft nur für leichte Fahrlässigkeit, sofern Microsoft gegen solche wesentlichen Vertragspflichten verstößt, deren Erfüllung die ordnungsgemäße Durchführung dieses Vertrages erleichtert und deren Verletzung den Sinn dieses Vertrages in seiner Übereinstimmung und Einhaltung gefährden würde, auf die eine Partei ständig vertrauen kann (so genannte „Kardinalpflichten“). In anderen Fällen von leichter Fahrlässigkeit haftet Microsoft nicht.</w:t>
      </w:r>
    </w:p>
    <w:p w:rsidR="00F15EA7" w:rsidRPr="00C45CAE" w:rsidRDefault="00E47200">
      <w:pPr>
        <w:pStyle w:val="Heading1"/>
        <w:rPr>
          <w:rFonts w:eastAsia="SimSun"/>
          <w:sz w:val="20"/>
          <w:szCs w:val="20"/>
        </w:rPr>
      </w:pPr>
      <w:r>
        <w:rPr>
          <w:sz w:val="20"/>
          <w:szCs w:val="20"/>
        </w:rPr>
        <w:t>AUSSCHLUSS VON GARANTIEN. DIE SOFTWARE WIRD „WIE VERFÜGBAR“ LIZENSIERT. SIE TRAGEN DAS MIT DER VERWENDUNG VERBUNDENE RISIKO. MICROSOFT GEWÄHRT KEINE AUSDRÜCKLICHEN GEWÄHRLEISTUNGEN ODER GARANTIEN. IN DEM NACH IHREM ÖRTLICH ANWENDBAREN RECHT ZULÄSSIGEN UMFANG SCHLIESST MICROSOFT KONKLUDENTE GARANTIEN DER HANDELSÜBLICHKEIT, EIGNUNG FÜR EINEN BESTIMMTEN ZWECK UND NICHTVERLETZUNG VON RECHTEN DRITTER AUS.</w:t>
      </w:r>
    </w:p>
    <w:p w:rsidR="00F15EA7" w:rsidRPr="00C45CAE" w:rsidRDefault="00E47200">
      <w:pPr>
        <w:pStyle w:val="Heading1"/>
        <w:rPr>
          <w:sz w:val="20"/>
          <w:szCs w:val="20"/>
        </w:rPr>
      </w:pPr>
      <w:r>
        <w:rPr>
          <w:sz w:val="20"/>
          <w:szCs w:val="20"/>
        </w:rPr>
        <w:t>BESCHRÄNKUNG UND AUSSCHLUSS VON SCHADENERSATZ. SIE KÖNNEN VON MICROSOFT UND DEREN LIEFERANTEN NUR EINEN ERSATZ FÜR DIREKTE SCHÄDEN BIS ZU EINEM BETRAG VON 5 US-DOLLAR ERHALTEN. SIE KÖNNEN KEINEN ERSATZ FÜR ANDERE SCHÄDEN ERHALTEN, EINSCHLIESSLICH FOLGESCHÄDEN, SCHÄDEN AUS ENTGANGENEM GEWINN, SPEZIELLER, INDIREKTER ODER ZUFÄLLIGER SCHÄDEN.</w:t>
      </w:r>
    </w:p>
    <w:p w:rsidR="00F15EA7" w:rsidRPr="00C45CAE" w:rsidRDefault="00E47200" w:rsidP="0071730A">
      <w:pPr>
        <w:pStyle w:val="Body1"/>
        <w:widowControl w:val="0"/>
        <w:rPr>
          <w:rFonts w:eastAsia="SimSun"/>
          <w:sz w:val="20"/>
          <w:szCs w:val="20"/>
        </w:rPr>
      </w:pPr>
      <w:r>
        <w:rPr>
          <w:sz w:val="20"/>
          <w:szCs w:val="20"/>
        </w:rPr>
        <w:t>Diese Einschränkung gilt für (a) jeden Gegenstand im Zusammenhang mit der Software, Diensten, Inhalten (einschließlich Code) auf Internetseiten von Drittanbietern oder Anwendungen von Dritten und (b) Ansprüche aus Vertragsverletzungen, Verletzungen der Garantie oder der Gewährleistung, verschuldensunabhängiger Haftung, Fahrlässigkeit oder anderen unerlaubten Handlungen im durch das anwendbare Recht zugelassenen Umfang.</w:t>
      </w:r>
    </w:p>
    <w:p w:rsidR="00F15EA7" w:rsidRDefault="00E47200">
      <w:pPr>
        <w:widowControl w:val="0"/>
        <w:ind w:left="360"/>
        <w:rPr>
          <w:rFonts w:eastAsia="SimSun"/>
          <w:sz w:val="20"/>
          <w:szCs w:val="20"/>
        </w:rPr>
      </w:pPr>
      <w:r>
        <w:rPr>
          <w:sz w:val="20"/>
          <w:szCs w:val="20"/>
        </w:rPr>
        <w:t>Sie hat auch dann Gültigkeit, wenn Microsoft von der Möglichkeit der Schäden gewusst hat oder hätte wissen müssen. Obige Beschränkung und obiger Ausschluss gelten möglicherweise nicht für Sie, weil Ihr Land den Ausschluss oder die Beschränkung von zufälligen Schäden, Folgeschäden oder sonstigen Schäden nicht gestattet. Wenn Sie die Software in DEUTSCHLAND oder in ÖSTERREICH erworben haben, findet die Beschränkung im vorstehenden Absatz „Beschränkung und Ausschluss von Schadenersatz“ auf Sie keine Anwendung. Stattdessen gelten für Schadenersatz oder Ersatz vergeblicher Aufwendungen, gleich aus welchem Rechtsgrund einschließlich unerlaubter Handlung, die folgenden Regelungen: Microsoft haftet bei Vorsatz, grober Fahrlässigkeit, bei Ansprüchen nach dem Produkthaftungsgesetz sowie bei Verletzung von Leben, Körper oder der Gesundheit nach den gesetzlichen Vorschriften. Microsoft haftet nicht für leichte Fahrlässigkeit. Wenn Sie die Software jedoch in Deutschland erworben haben, haftet Microsoft auch für leichte Fahrlässigkeit, wenn Microsoft eine Vertragspflicht verletzt, deren Erfüllung die ordnungsgemäße Durchführung des Vertrags überhaupt erst ermöglicht, deren Verletzung die Erreichung des Vertragszwecks gefährdet und auf deren Einhaltung Sie regelmäßig vertrauen dürfen (sog. „Kardinalpflichten“). In diesen Fällen ist die Haftung von Microsoft auf typische und vorhersehbare Schäden beschränkt. In allen anderen Fällen haftet Microsoft auch in Deutschland nicht für leichte Fahrlässigkeit.</w:t>
      </w:r>
    </w:p>
    <w:p w:rsidR="00DB1D53" w:rsidRDefault="00DB1D53">
      <w:pPr>
        <w:widowControl w:val="0"/>
        <w:ind w:left="360"/>
        <w:rPr>
          <w:rFonts w:eastAsia="SimSun"/>
          <w:sz w:val="20"/>
          <w:szCs w:val="20"/>
        </w:rPr>
      </w:pPr>
    </w:p>
    <w:p w:rsidR="00DB1D53" w:rsidRPr="00C45CAE" w:rsidRDefault="00DB1D53" w:rsidP="00DB1D53">
      <w:pPr>
        <w:widowControl w:val="0"/>
        <w:ind w:left="360"/>
        <w:rPr>
          <w:rFonts w:eastAsia="SimSun"/>
          <w:sz w:val="20"/>
          <w:szCs w:val="20"/>
        </w:rPr>
      </w:pPr>
      <w:r>
        <w:rPr>
          <w:sz w:val="20"/>
          <w:szCs w:val="20"/>
        </w:rPr>
        <w:t>EULA ID: VS 2017_TOOLS_ADDONs_C++_RTW.3_</w:t>
      </w:r>
      <w:r w:rsidR="00CF0CDE">
        <w:rPr>
          <w:sz w:val="20"/>
          <w:szCs w:val="20"/>
        </w:rPr>
        <w:t>DEU</w:t>
      </w:r>
      <w:bookmarkStart w:id="0" w:name="_GoBack"/>
      <w:bookmarkEnd w:id="0"/>
    </w:p>
    <w:p w:rsidR="00DB1D53" w:rsidRPr="00C45CAE" w:rsidRDefault="00DB1D53">
      <w:pPr>
        <w:widowControl w:val="0"/>
        <w:ind w:left="360"/>
        <w:rPr>
          <w:rFonts w:eastAsia="SimSun"/>
          <w:sz w:val="20"/>
          <w:szCs w:val="20"/>
        </w:rPr>
      </w:pPr>
    </w:p>
    <w:sectPr w:rsidR="00DB1D53" w:rsidRPr="00C45CAE">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B40" w:rsidRDefault="00116B40">
      <w:pPr>
        <w:rPr>
          <w:rFonts w:cs="Times New Roman"/>
        </w:rPr>
      </w:pPr>
      <w:r>
        <w:rPr>
          <w:rFonts w:cs="Times New Roman"/>
        </w:rPr>
        <w:separator/>
      </w:r>
    </w:p>
  </w:endnote>
  <w:endnote w:type="continuationSeparator" w:id="0">
    <w:p w:rsidR="00116B40" w:rsidRDefault="00116B4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B40" w:rsidRDefault="00116B40">
      <w:pPr>
        <w:rPr>
          <w:rFonts w:cs="Times New Roman"/>
        </w:rPr>
      </w:pPr>
      <w:r>
        <w:rPr>
          <w:rFonts w:cs="Times New Roman"/>
        </w:rPr>
        <w:separator/>
      </w:r>
    </w:p>
  </w:footnote>
  <w:footnote w:type="continuationSeparator" w:id="0">
    <w:p w:rsidR="00116B40" w:rsidRDefault="00116B4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F3A17"/>
    <w:multiLevelType w:val="hybridMultilevel"/>
    <w:tmpl w:val="668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3"/>
  </w:num>
  <w:num w:numId="3">
    <w:abstractNumId w:val="8"/>
  </w:num>
  <w:num w:numId="4">
    <w:abstractNumId w:val="7"/>
  </w:num>
  <w:num w:numId="5">
    <w:abstractNumId w:val="11"/>
  </w:num>
  <w:num w:numId="6">
    <w:abstractNumId w:val="12"/>
  </w:num>
  <w:num w:numId="7">
    <w:abstractNumId w:val="6"/>
  </w:num>
  <w:num w:numId="8">
    <w:abstractNumId w:val="5"/>
  </w:num>
  <w:num w:numId="9">
    <w:abstractNumId w:val="0"/>
  </w:num>
  <w:num w:numId="10">
    <w:abstractNumId w:val="2"/>
  </w:num>
  <w:num w:numId="11">
    <w:abstractNumId w:val="1"/>
  </w:num>
  <w:num w:numId="12">
    <w:abstractNumId w:val="4"/>
  </w:num>
  <w:num w:numId="13">
    <w:abstractNumId w:val="10"/>
  </w:num>
  <w:num w:numId="14">
    <w:abstractNumId w:val="9"/>
  </w:num>
  <w:num w:numId="15">
    <w:abstractNumId w:val="14"/>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5EA7"/>
    <w:rsid w:val="0000607C"/>
    <w:rsid w:val="000206AC"/>
    <w:rsid w:val="00087D93"/>
    <w:rsid w:val="00093887"/>
    <w:rsid w:val="000E462E"/>
    <w:rsid w:val="0011022C"/>
    <w:rsid w:val="00116B40"/>
    <w:rsid w:val="00132C1B"/>
    <w:rsid w:val="001355CE"/>
    <w:rsid w:val="0015511C"/>
    <w:rsid w:val="001B2660"/>
    <w:rsid w:val="002165F0"/>
    <w:rsid w:val="0021726D"/>
    <w:rsid w:val="0026305F"/>
    <w:rsid w:val="00282039"/>
    <w:rsid w:val="002A5E18"/>
    <w:rsid w:val="002B5432"/>
    <w:rsid w:val="002B61BD"/>
    <w:rsid w:val="002C3CD3"/>
    <w:rsid w:val="002D0C0A"/>
    <w:rsid w:val="00300B05"/>
    <w:rsid w:val="003E305D"/>
    <w:rsid w:val="004730C0"/>
    <w:rsid w:val="0048051A"/>
    <w:rsid w:val="00487F19"/>
    <w:rsid w:val="004A71FC"/>
    <w:rsid w:val="004B40A2"/>
    <w:rsid w:val="004C2CF0"/>
    <w:rsid w:val="004F0BDD"/>
    <w:rsid w:val="004F2189"/>
    <w:rsid w:val="004F6156"/>
    <w:rsid w:val="00535024"/>
    <w:rsid w:val="0054177A"/>
    <w:rsid w:val="0057092F"/>
    <w:rsid w:val="00585893"/>
    <w:rsid w:val="00585F9C"/>
    <w:rsid w:val="005E5224"/>
    <w:rsid w:val="005F767D"/>
    <w:rsid w:val="005F7F9A"/>
    <w:rsid w:val="00675AF5"/>
    <w:rsid w:val="00681F47"/>
    <w:rsid w:val="006A41B9"/>
    <w:rsid w:val="0071730A"/>
    <w:rsid w:val="00767154"/>
    <w:rsid w:val="007869AA"/>
    <w:rsid w:val="007A1DA7"/>
    <w:rsid w:val="00815470"/>
    <w:rsid w:val="00862D38"/>
    <w:rsid w:val="00883EE6"/>
    <w:rsid w:val="0095185A"/>
    <w:rsid w:val="0097287C"/>
    <w:rsid w:val="009B2EFB"/>
    <w:rsid w:val="009B6298"/>
    <w:rsid w:val="00A060BA"/>
    <w:rsid w:val="00A32BB6"/>
    <w:rsid w:val="00A333A7"/>
    <w:rsid w:val="00A44DF6"/>
    <w:rsid w:val="00A76133"/>
    <w:rsid w:val="00AA776B"/>
    <w:rsid w:val="00AC393B"/>
    <w:rsid w:val="00B23DFB"/>
    <w:rsid w:val="00B406AF"/>
    <w:rsid w:val="00BA3404"/>
    <w:rsid w:val="00BE609E"/>
    <w:rsid w:val="00C3080D"/>
    <w:rsid w:val="00C45CAE"/>
    <w:rsid w:val="00C46E61"/>
    <w:rsid w:val="00C618CC"/>
    <w:rsid w:val="00C75044"/>
    <w:rsid w:val="00C831EA"/>
    <w:rsid w:val="00C86DC7"/>
    <w:rsid w:val="00C97391"/>
    <w:rsid w:val="00CF0CDE"/>
    <w:rsid w:val="00D1164B"/>
    <w:rsid w:val="00D44C9C"/>
    <w:rsid w:val="00D60880"/>
    <w:rsid w:val="00D83150"/>
    <w:rsid w:val="00DB1D53"/>
    <w:rsid w:val="00DC02A8"/>
    <w:rsid w:val="00E26362"/>
    <w:rsid w:val="00E400F3"/>
    <w:rsid w:val="00E47200"/>
    <w:rsid w:val="00EF6707"/>
    <w:rsid w:val="00F15EA7"/>
    <w:rsid w:val="00F46209"/>
    <w:rsid w:val="00F61089"/>
    <w:rsid w:val="00F67171"/>
    <w:rsid w:val="00F97F55"/>
    <w:rsid w:val="00FA2358"/>
    <w:rsid w:val="00FA795B"/>
    <w:rsid w:val="00FC00A3"/>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54A2E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de-DE" w:eastAsia="en-US"/>
    </w:rPr>
  </w:style>
  <w:style w:type="character" w:customStyle="1" w:styleId="Body3Char">
    <w:name w:val="Body 3 Char"/>
    <w:basedOn w:val="DefaultParagraphFont"/>
    <w:uiPriority w:val="99"/>
    <w:rPr>
      <w:rFonts w:ascii="Tahoma" w:hAnsi="Tahoma" w:cs="Tahoma"/>
      <w:lang w:val="de-DE" w:eastAsia="en-US"/>
    </w:rPr>
  </w:style>
  <w:style w:type="character" w:customStyle="1" w:styleId="Body4Char">
    <w:name w:val="Body 4 Char"/>
    <w:basedOn w:val="DefaultParagraphFont"/>
    <w:uiPriority w:val="99"/>
    <w:rPr>
      <w:rFonts w:ascii="Tahoma" w:hAnsi="Tahoma" w:cs="Tahoma"/>
      <w:lang w:val="de-DE" w:eastAsia="en-US"/>
    </w:rPr>
  </w:style>
  <w:style w:type="character" w:customStyle="1" w:styleId="Body1Char">
    <w:name w:val="Body 1 Char"/>
    <w:basedOn w:val="DefaultParagraphFont"/>
    <w:uiPriority w:val="99"/>
    <w:rPr>
      <w:rFonts w:ascii="Tahoma" w:hAnsi="Tahoma" w:cs="Tahoma"/>
      <w:lang w:val="de-DE"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de-DE"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de-DE"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de-DE"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de-DE" w:eastAsia="x-none"/>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de-DE" w:eastAsia="zh-CN"/>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973450">
      <w:marLeft w:val="0"/>
      <w:marRight w:val="0"/>
      <w:marTop w:val="0"/>
      <w:marBottom w:val="0"/>
      <w:divBdr>
        <w:top w:val="none" w:sz="0" w:space="0" w:color="auto"/>
        <w:left w:val="none" w:sz="0" w:space="0" w:color="auto"/>
        <w:bottom w:val="none" w:sz="0" w:space="0" w:color="auto"/>
        <w:right w:val="none" w:sz="0" w:space="0" w:color="auto"/>
      </w:divBdr>
    </w:div>
    <w:div w:id="986973451">
      <w:marLeft w:val="0"/>
      <w:marRight w:val="0"/>
      <w:marTop w:val="0"/>
      <w:marBottom w:val="0"/>
      <w:divBdr>
        <w:top w:val="none" w:sz="0" w:space="0" w:color="auto"/>
        <w:left w:val="none" w:sz="0" w:space="0" w:color="auto"/>
        <w:bottom w:val="none" w:sz="0" w:space="0" w:color="auto"/>
        <w:right w:val="none" w:sz="0" w:space="0" w:color="auto"/>
      </w:divBdr>
    </w:div>
    <w:div w:id="986973452">
      <w:marLeft w:val="0"/>
      <w:marRight w:val="0"/>
      <w:marTop w:val="0"/>
      <w:marBottom w:val="0"/>
      <w:divBdr>
        <w:top w:val="none" w:sz="0" w:space="0" w:color="auto"/>
        <w:left w:val="none" w:sz="0" w:space="0" w:color="auto"/>
        <w:bottom w:val="none" w:sz="0" w:space="0" w:color="auto"/>
        <w:right w:val="none" w:sz="0" w:space="0" w:color="auto"/>
      </w:divBdr>
    </w:div>
    <w:div w:id="986973453">
      <w:marLeft w:val="0"/>
      <w:marRight w:val="0"/>
      <w:marTop w:val="0"/>
      <w:marBottom w:val="0"/>
      <w:divBdr>
        <w:top w:val="none" w:sz="0" w:space="0" w:color="auto"/>
        <w:left w:val="none" w:sz="0" w:space="0" w:color="auto"/>
        <w:bottom w:val="none" w:sz="0" w:space="0" w:color="auto"/>
        <w:right w:val="none" w:sz="0" w:space="0" w:color="auto"/>
      </w:divBdr>
    </w:div>
    <w:div w:id="986973454">
      <w:marLeft w:val="0"/>
      <w:marRight w:val="0"/>
      <w:marTop w:val="0"/>
      <w:marBottom w:val="0"/>
      <w:divBdr>
        <w:top w:val="none" w:sz="0" w:space="0" w:color="auto"/>
        <w:left w:val="none" w:sz="0" w:space="0" w:color="auto"/>
        <w:bottom w:val="none" w:sz="0" w:space="0" w:color="auto"/>
        <w:right w:val="none" w:sz="0" w:space="0" w:color="auto"/>
      </w:divBdr>
    </w:div>
    <w:div w:id="986973455">
      <w:marLeft w:val="0"/>
      <w:marRight w:val="0"/>
      <w:marTop w:val="0"/>
      <w:marBottom w:val="0"/>
      <w:divBdr>
        <w:top w:val="none" w:sz="0" w:space="0" w:color="auto"/>
        <w:left w:val="none" w:sz="0" w:space="0" w:color="auto"/>
        <w:bottom w:val="none" w:sz="0" w:space="0" w:color="auto"/>
        <w:right w:val="none" w:sz="0" w:space="0" w:color="auto"/>
      </w:divBdr>
    </w:div>
    <w:div w:id="9869734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exporting" TargetMode="External"/><Relationship Id="rId5" Type="http://schemas.openxmlformats.org/officeDocument/2006/relationships/webSettings" Target="webSettings.xml"/><Relationship Id="rId10" Type="http://schemas.openxmlformats.org/officeDocument/2006/relationships/hyperlink" Target="http://go.microsoft.com/?linkid=9840733" TargetMode="External"/><Relationship Id="rId4" Type="http://schemas.openxmlformats.org/officeDocument/2006/relationships/settings" Target="settings.xml"/><Relationship Id="rId9" Type="http://schemas.openxmlformats.org/officeDocument/2006/relationships/hyperlink" Target="https://go.microsoft.com/fwlink/?LinkID=824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BC2E0-94E2-43E6-8982-D873CA0C6CA3}">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29158</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3</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2018-03-12T17:07:00Z</dcterms:created>
  <dcterms:modified xsi:type="dcterms:W3CDTF">2018-03-21T14:49:00Z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kathan@microsoft.com</vt:lpwstr>
  </property>
  <property fmtid="{D5CDD505-2E9C-101B-9397-08002B2CF9AE}" pid="6" name="MSIP_Label_f42aa342-8706-4288-bd11-ebb85995028c_SetDate">
    <vt:lpwstr>2017-10-16T14:47:43.9897810-07:00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