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A7" w:rsidRPr="00C45CAE" w:rsidRDefault="00E47200">
      <w:pPr>
        <w:pStyle w:val="HeadingEULA"/>
        <w:widowControl w:val="0"/>
        <w:rPr>
          <w:rFonts w:eastAsia="SimSun"/>
          <w:sz w:val="20"/>
          <w:szCs w:val="20"/>
        </w:rPr>
      </w:pPr>
      <w:r>
        <w:rPr>
          <w:sz w:val="20"/>
          <w:szCs w:val="20"/>
        </w:rPr>
        <w:t>TÉRMINOS DE LA LICENCIA DE SOFTWARE DE MICROSOFT</w:t>
      </w:r>
    </w:p>
    <w:p w:rsidR="00F15EA7" w:rsidRPr="00C45CAE" w:rsidRDefault="00E47200">
      <w:pPr>
        <w:pStyle w:val="HeadingSoftwareTitle"/>
        <w:widowControl w:val="0"/>
        <w:rPr>
          <w:rFonts w:eastAsia="SimSun"/>
          <w:sz w:val="20"/>
          <w:szCs w:val="20"/>
        </w:rPr>
      </w:pPr>
      <w:r>
        <w:rPr>
          <w:sz w:val="20"/>
          <w:szCs w:val="20"/>
        </w:rPr>
        <w:t xml:space="preserve">HERRAMIENTAS, COMPLEMENTOS Y EXTENSIONES DE MICROSOFT VISUAL STUDIO 2017  </w:t>
      </w:r>
    </w:p>
    <w:p w:rsidR="00F15EA7" w:rsidRPr="00C45CAE" w:rsidRDefault="00E47200">
      <w:pPr>
        <w:pStyle w:val="Preamble"/>
        <w:widowControl w:val="0"/>
        <w:rPr>
          <w:rFonts w:eastAsia="SimSun"/>
          <w:b w:val="0"/>
          <w:bCs w:val="0"/>
          <w:sz w:val="20"/>
          <w:szCs w:val="20"/>
        </w:rPr>
      </w:pPr>
      <w:r>
        <w:rPr>
          <w:b w:val="0"/>
          <w:bCs w:val="0"/>
          <w:sz w:val="20"/>
          <w:szCs w:val="20"/>
        </w:rPr>
        <w:t>Estos términos de licencia constituyen un contrato entre Microsoft Corporation (o, en función de donde resida, una de sus filiales) y usted. Se aplican al software antes mencionado. Los términos también se aplican a cualquier servicio o actualización de Microsoft para el software, excepto en la medida que tengan términos diferentes.</w:t>
      </w:r>
    </w:p>
    <w:p w:rsidR="00F15EA7" w:rsidRPr="00C45CAE" w:rsidRDefault="00E47200">
      <w:pPr>
        <w:pStyle w:val="PreambleBorderAbove"/>
        <w:widowControl w:val="0"/>
        <w:rPr>
          <w:rFonts w:eastAsia="SimSun"/>
          <w:sz w:val="20"/>
          <w:szCs w:val="20"/>
        </w:rPr>
      </w:pPr>
      <w:r>
        <w:rPr>
          <w:sz w:val="20"/>
          <w:szCs w:val="20"/>
        </w:rPr>
        <w:t>SI USTED CUMPLE CON LOS PRESENTES TÉRMINOS DE ESTA LICENCIA, DISPONDRÁ DE LOS DERECHOS QUE SE DESCRIBEN A CONTINUACIÓN.</w:t>
      </w:r>
    </w:p>
    <w:p w:rsidR="00B406AF" w:rsidRPr="00C45CAE" w:rsidRDefault="00E47200">
      <w:pPr>
        <w:pStyle w:val="Heading1"/>
        <w:widowControl w:val="0"/>
        <w:rPr>
          <w:rFonts w:eastAsia="SimSun"/>
          <w:b w:val="0"/>
          <w:bCs w:val="0"/>
          <w:sz w:val="20"/>
          <w:szCs w:val="20"/>
        </w:rPr>
      </w:pPr>
      <w:r>
        <w:rPr>
          <w:sz w:val="20"/>
          <w:szCs w:val="20"/>
        </w:rPr>
        <w:t xml:space="preserve">DERECHOS DE INSTALACIÓN Y DE USO. </w:t>
      </w:r>
    </w:p>
    <w:p w:rsidR="00F15EA7" w:rsidRPr="00C45CAE" w:rsidRDefault="00E47200" w:rsidP="00B23DFB">
      <w:pPr>
        <w:pStyle w:val="Heading2"/>
        <w:numPr>
          <w:ilvl w:val="0"/>
          <w:numId w:val="0"/>
        </w:numPr>
        <w:ind w:left="357"/>
        <w:rPr>
          <w:rStyle w:val="Body2Char"/>
          <w:rFonts w:eastAsia="SimSun"/>
          <w:b w:val="0"/>
          <w:bCs w:val="0"/>
          <w:sz w:val="20"/>
          <w:szCs w:val="20"/>
        </w:rPr>
      </w:pPr>
      <w:r>
        <w:rPr>
          <w:rStyle w:val="Body2Char"/>
          <w:b w:val="0"/>
          <w:bCs w:val="0"/>
          <w:sz w:val="20"/>
          <w:szCs w:val="20"/>
        </w:rPr>
        <w:t>Puede instalar y utilizar cualquier número de copias del software.</w:t>
      </w:r>
    </w:p>
    <w:p w:rsidR="0054177A" w:rsidRPr="00C45CAE" w:rsidRDefault="0054177A">
      <w:pPr>
        <w:pStyle w:val="Heading1"/>
        <w:widowControl w:val="0"/>
        <w:rPr>
          <w:rStyle w:val="Body2Char"/>
          <w:rFonts w:eastAsia="SimSun"/>
          <w:b w:val="0"/>
          <w:bCs w:val="0"/>
          <w:sz w:val="20"/>
          <w:szCs w:val="20"/>
        </w:rPr>
      </w:pPr>
      <w:r>
        <w:rPr>
          <w:sz w:val="20"/>
          <w:szCs w:val="20"/>
        </w:rPr>
        <w:t>TÉRMINOS PARA COMPONENTES ESPECÍFICOS.</w:t>
      </w:r>
    </w:p>
    <w:p w:rsidR="00585893" w:rsidRPr="00A44DF6" w:rsidRDefault="00585893" w:rsidP="0054177A">
      <w:pPr>
        <w:pStyle w:val="Heading2"/>
        <w:rPr>
          <w:rFonts w:eastAsia="SimSun"/>
          <w:b w:val="0"/>
          <w:sz w:val="20"/>
          <w:szCs w:val="20"/>
        </w:rPr>
      </w:pPr>
      <w:r>
        <w:rPr>
          <w:sz w:val="20"/>
          <w:szCs w:val="20"/>
        </w:rPr>
        <w:t xml:space="preserve">Utilidades. </w:t>
      </w:r>
      <w:r>
        <w:rPr>
          <w:b w:val="0"/>
        </w:rPr>
        <w:t xml:space="preserve">El software puede contener algunos elementos que se identifican en la Lista de Utilidades, en </w:t>
      </w:r>
      <w:hyperlink r:id="rId8" w:history="1">
        <w:r>
          <w:rPr>
            <w:rStyle w:val="Hyperlink"/>
            <w:b w:val="0"/>
            <w:sz w:val="20"/>
            <w:szCs w:val="20"/>
          </w:rPr>
          <w:t>https://go.microsoft.com/fwlink/?linkid=823097</w:t>
        </w:r>
      </w:hyperlink>
      <w:r>
        <w:t>.</w:t>
      </w:r>
      <w:r>
        <w:rPr>
          <w:b w:val="0"/>
          <w:sz w:val="20"/>
          <w:szCs w:val="20"/>
        </w:rPr>
        <w:t xml:space="preserve">   Usted puede copiar e instalar estas Utilidades, si se incluyen con el software, en dispositivos para depurar e implementar las aplicaciones y las bases de datos de su propiedades que haya desarrollado con el software. </w:t>
      </w:r>
      <w:r>
        <w:rPr>
          <w:b w:val="0"/>
          <w:bCs w:val="0"/>
          <w:sz w:val="20"/>
          <w:szCs w:val="20"/>
        </w:rPr>
        <w:t xml:space="preserve">Tenga en cuenta que las Utilidades están destinadas a un uso temporal, que es posible que Microsoft no pueda aplicar parches o actualizar las Utilidades de forma independiente del resto del software y que algunas Utilidades por su naturaleza pueden permitir que otras personas accedan a los dispositivos donde están instaladas las Utilidades. Por consiguiente, después de depurar o implementar las aplicaciones y las bases de datos, debe eliminar todas las Utilidades que haya instalado.  </w:t>
      </w:r>
      <w:r>
        <w:rPr>
          <w:b w:val="0"/>
          <w:sz w:val="20"/>
          <w:szCs w:val="20"/>
        </w:rPr>
        <w:t>Microsoft no es responsable por el acceso o el uso por parte de terceros en relación con las Utilidades que instale en cualquier dispositivo.</w:t>
      </w:r>
    </w:p>
    <w:p w:rsidR="00A44DF6" w:rsidRPr="00C45CAE" w:rsidRDefault="00A44DF6" w:rsidP="0054177A">
      <w:pPr>
        <w:pStyle w:val="Heading2"/>
        <w:rPr>
          <w:rFonts w:eastAsia="SimSun"/>
          <w:b w:val="0"/>
          <w:sz w:val="20"/>
          <w:szCs w:val="20"/>
        </w:rPr>
      </w:pPr>
      <w:r>
        <w:t>Herramientas de Compilación.</w:t>
      </w:r>
      <w:r>
        <w:rPr>
          <w:b w:val="0"/>
        </w:rPr>
        <w:t xml:space="preserve">  El software puede incluir herramientas de compilación que poseen términos de uso específicos.   Para herramientas de compilación, podrá copiar e instalar archivos del software en sus dispositivos de compilación, incluyendo dispositivos físicos y máquinas virtuales o los contenedores de dichas máquinas, ya sea en máquinas locales o remotas de su propiedad, hospedadas en Azure para usted, o dedicadas exclusivamente para el uso por parte de usted (en conjunto, "Dispositivos de Compilación").  Usted y otras personas en su organización pueden usar estos archivos en sus Dispositivos de Compilación</w:t>
      </w:r>
      <w:r>
        <w:rPr>
          <w:b w:val="0"/>
          <w:bCs w:val="0"/>
        </w:rPr>
        <w:t xml:space="preserve"> únicamente para compilar, desarrollar y comprobar aplicaciones o para ejecutar pruebas de calidad o rendimiento de dichas aplicaciones como parte del proceso de compilación.  Para mayor claridad, "aplicaciones" significa las aplicaciones desarrolladas por usted y otras personas en su organización que cuentan con licencia para utilizar el software.</w:t>
      </w:r>
    </w:p>
    <w:p w:rsidR="0054177A" w:rsidRPr="00C45CAE" w:rsidRDefault="0054177A" w:rsidP="0054177A">
      <w:pPr>
        <w:pStyle w:val="Heading2"/>
        <w:rPr>
          <w:rFonts w:eastAsia="SimSun"/>
          <w:b w:val="0"/>
          <w:sz w:val="20"/>
          <w:szCs w:val="20"/>
        </w:rPr>
      </w:pPr>
      <w:r>
        <w:rPr>
          <w:sz w:val="20"/>
          <w:szCs w:val="20"/>
        </w:rPr>
        <w:t xml:space="preserve">Plataformas de Microsoft.  </w:t>
      </w:r>
      <w:r>
        <w:rPr>
          <w:b w:val="0"/>
          <w:sz w:val="20"/>
          <w:szCs w:val="20"/>
        </w:rPr>
        <w:t>El software puede incluir componentes de Microsoft Windows, Microsoft Windows Server, Microsoft SQL Server, Microsoft Exchange, Microsoft Office y Microsoft SharePoint. Estos componentes se rigen por contratos independientes y sus propias directivas de soporte de productos, según se describe en la carpeta</w:t>
      </w:r>
      <w:r>
        <w:rPr>
          <w:rFonts w:ascii="Garamond" w:hAnsi="Garamond"/>
          <w:b w:val="0"/>
          <w:color w:val="002060"/>
          <w:sz w:val="20"/>
          <w:szCs w:val="20"/>
        </w:rPr>
        <w:t xml:space="preserve"> </w:t>
      </w:r>
      <w:r>
        <w:rPr>
          <w:b w:val="0"/>
          <w:sz w:val="20"/>
          <w:szCs w:val="20"/>
        </w:rPr>
        <w:t>"Licencias" de Microsoft que se incluye en el software, excepto que, si los términos de licencia para esos componentes también se incluyen en el directorio de instalación asociado, esos términos de licencia prevalecen.</w:t>
      </w:r>
    </w:p>
    <w:p w:rsidR="0011022C" w:rsidRDefault="0011022C" w:rsidP="0011022C">
      <w:pPr>
        <w:pStyle w:val="Heading2"/>
        <w:rPr>
          <w:b w:val="0"/>
          <w:sz w:val="20"/>
          <w:szCs w:val="20"/>
        </w:rPr>
      </w:pPr>
      <w:r>
        <w:rPr>
          <w:sz w:val="20"/>
          <w:szCs w:val="20"/>
        </w:rPr>
        <w:t xml:space="preserve">Componentes de terceros.  </w:t>
      </w:r>
      <w:r>
        <w:rPr>
          <w:b w:val="0"/>
          <w:sz w:val="20"/>
          <w:szCs w:val="20"/>
        </w:rPr>
        <w:t xml:space="preserve">El software puede incluir componentes de terceros con notificaciones legales independientes o regirse por otros contratos, tal como puede describirse en el archivo ThirdPartyNotices que se incluye en el software.  </w:t>
      </w:r>
    </w:p>
    <w:p w:rsidR="00282039" w:rsidRPr="00282039" w:rsidRDefault="0054177A">
      <w:pPr>
        <w:pStyle w:val="Heading1"/>
        <w:widowControl w:val="0"/>
        <w:rPr>
          <w:b w:val="0"/>
          <w:sz w:val="20"/>
          <w:szCs w:val="20"/>
        </w:rPr>
      </w:pPr>
      <w:r>
        <w:rPr>
          <w:sz w:val="20"/>
          <w:szCs w:val="20"/>
        </w:rPr>
        <w:t xml:space="preserve">DATOS.  </w:t>
      </w:r>
    </w:p>
    <w:p w:rsidR="0054177A" w:rsidRDefault="00282039" w:rsidP="00282039">
      <w:pPr>
        <w:pStyle w:val="Heading2"/>
        <w:rPr>
          <w:b w:val="0"/>
          <w:sz w:val="20"/>
          <w:szCs w:val="20"/>
        </w:rPr>
      </w:pPr>
      <w:r>
        <w:rPr>
          <w:sz w:val="20"/>
          <w:szCs w:val="20"/>
        </w:rPr>
        <w:t>Recopilación de Datos.</w:t>
      </w:r>
      <w:r>
        <w:rPr>
          <w:b w:val="0"/>
          <w:sz w:val="20"/>
          <w:szCs w:val="20"/>
        </w:rPr>
        <w:t xml:space="preserve"> El software puede recopilar información sobre usted y sobre su uso del software, y enviarla a Microsoft. Microsoft puede utilizar esta información para prestar servicios y mejorar nuestros productos y servicios.  Usted puede renunciar a muchos escenarios, pero no a todos, según se describe en la documentación del producto.  El software también incluye a</w:t>
      </w:r>
      <w:r>
        <w:rPr>
          <w:b w:val="0"/>
          <w:color w:val="000000"/>
          <w:sz w:val="20"/>
          <w:szCs w:val="20"/>
        </w:rPr>
        <w:t>lgunas características con las que usted y Microsoft podrán recopilar datos de los usuarios de sus aplicaciones.</w:t>
      </w:r>
      <w:r>
        <w:rPr>
          <w:b w:val="0"/>
          <w:sz w:val="20"/>
          <w:szCs w:val="20"/>
        </w:rPr>
        <w:t xml:space="preserve"> Si utiliza estas características debe cumplir con la legislación aplicable, que incluye la entrega de notificaciones pertinentes a los usuarios de sus aplicaciones, y debe proporcionar una copia de la declaración de privacidad de Microsoft a sus usuarios.</w:t>
      </w:r>
      <w:r>
        <w:rPr>
          <w:b w:val="0"/>
          <w:color w:val="000000"/>
          <w:sz w:val="20"/>
          <w:szCs w:val="20"/>
        </w:rPr>
        <w:t xml:space="preserve"> La declaración de privacidad de Microsoft se encuentra en</w:t>
      </w:r>
      <w:r>
        <w:rPr>
          <w:b w:val="0"/>
          <w:color w:val="000000"/>
        </w:rPr>
        <w:t xml:space="preserve"> </w:t>
      </w:r>
      <w:hyperlink r:id="rId9" w:history="1">
        <w:r>
          <w:rPr>
            <w:rStyle w:val="Hyperlink"/>
            <w:b w:val="0"/>
            <w:sz w:val="20"/>
            <w:szCs w:val="20"/>
          </w:rPr>
          <w:t>https://go.microsoft.com/fwlink/?LinkID=824704</w:t>
        </w:r>
      </w:hyperlink>
      <w:r>
        <w:rPr>
          <w:b w:val="0"/>
          <w:sz w:val="20"/>
          <w:szCs w:val="20"/>
        </w:rPr>
        <w:t>. Para obtener más información acerca de la recopilación y el uso de datos, consulte la documentación de ayuda y nuestra declaración de privacidad. El uso que hace del software funciona como su consentimiento para estas prácticas.</w:t>
      </w:r>
    </w:p>
    <w:p w:rsidR="00282039" w:rsidRPr="00C45CAE" w:rsidRDefault="00282039" w:rsidP="00282039">
      <w:pPr>
        <w:pStyle w:val="Heading2"/>
        <w:rPr>
          <w:b w:val="0"/>
          <w:sz w:val="20"/>
          <w:szCs w:val="20"/>
        </w:rPr>
      </w:pPr>
      <w:r>
        <w:rPr>
          <w:sz w:val="20"/>
          <w:szCs w:val="20"/>
        </w:rPr>
        <w:t>Procesamiento de los Datos Personales.</w:t>
      </w:r>
      <w:r>
        <w:rPr>
          <w:b w:val="0"/>
          <w:sz w:val="20"/>
          <w:szCs w:val="20"/>
        </w:rPr>
        <w:t xml:space="preserve"> </w:t>
      </w:r>
      <w:r>
        <w:rPr>
          <w:b w:val="0"/>
        </w:rPr>
        <w:t xml:space="preserve">En la medida en que Microsoft sea procesador o subprocesador de datos personales en relación con el software, Microsoft se adhiere a los compromisos de los Términos del Reglamento General de Protección de Datos de la Unión Europea de los Términos de los Servicios en Línea para todos los clientes a partir del 25 de mayo de 2018 en </w:t>
      </w:r>
      <w:hyperlink r:id="rId10" w:history="1">
        <w:r>
          <w:rPr>
            <w:rStyle w:val="Hyperlink"/>
            <w:b w:val="0"/>
          </w:rPr>
          <w:t>http://go.microsoft.com/?linkid=9840733</w:t>
        </w:r>
      </w:hyperlink>
    </w:p>
    <w:p w:rsidR="00F15EA7" w:rsidRPr="00C45CAE" w:rsidRDefault="00E47200">
      <w:pPr>
        <w:pStyle w:val="Heading1"/>
        <w:widowControl w:val="0"/>
        <w:rPr>
          <w:rFonts w:eastAsia="SimSun"/>
          <w:b w:val="0"/>
          <w:bCs w:val="0"/>
          <w:sz w:val="20"/>
          <w:szCs w:val="20"/>
        </w:rPr>
      </w:pPr>
      <w:r>
        <w:rPr>
          <w:sz w:val="20"/>
          <w:szCs w:val="20"/>
        </w:rPr>
        <w:lastRenderedPageBreak/>
        <w:t>ÁMBITO DE LA LICENCIA.</w:t>
      </w:r>
      <w:r>
        <w:rPr>
          <w:b w:val="0"/>
          <w:bCs w:val="0"/>
          <w:sz w:val="20"/>
          <w:szCs w:val="20"/>
        </w:rPr>
        <w:t xml:space="preserve"> El software se licencia, no se vende. Este contrato solo le otorga algunos derechos de uso del software. Microsoft se reserva todos los demás derechos. A menos que la legislación aplicable le otorgue más derechos a pesar de esta limitación, sólo podrá utilizar el software tal como se permite expresamente en este contrato. Al hacerlo, deberá ajustarse a las limitaciones técnicas del software que sólo permiten utilizarlo de determinadas formas. No podrá:</w:t>
      </w:r>
    </w:p>
    <w:p w:rsidR="00F15EA7" w:rsidRPr="00C45CAE" w:rsidRDefault="00E47200">
      <w:pPr>
        <w:pStyle w:val="Bullet2"/>
        <w:widowControl w:val="0"/>
        <w:rPr>
          <w:rFonts w:eastAsia="SimSun"/>
          <w:sz w:val="20"/>
          <w:szCs w:val="20"/>
        </w:rPr>
      </w:pPr>
      <w:r>
        <w:rPr>
          <w:sz w:val="20"/>
          <w:szCs w:val="20"/>
        </w:rPr>
        <w:t>eludir las limitaciones técnicas del software;</w:t>
      </w:r>
    </w:p>
    <w:p w:rsidR="00F15EA7" w:rsidRPr="005F767D" w:rsidRDefault="00E47200">
      <w:pPr>
        <w:pStyle w:val="Bullet2"/>
        <w:widowControl w:val="0"/>
        <w:rPr>
          <w:rFonts w:eastAsia="SimSun"/>
          <w:sz w:val="20"/>
          <w:szCs w:val="20"/>
        </w:rPr>
      </w:pPr>
      <w:r>
        <w:rPr>
          <w:sz w:val="20"/>
          <w:szCs w:val="20"/>
        </w:rPr>
        <w:t xml:space="preserve">utilizar técnicas de ingeniería inversa, descompilar o desensamblar el software, </w:t>
      </w:r>
      <w:r>
        <w:t>así como tampoco derivar el código fuente del software,</w:t>
      </w:r>
      <w:r>
        <w:rPr>
          <w:sz w:val="20"/>
          <w:szCs w:val="20"/>
        </w:rPr>
        <w:t xml:space="preserve"> excepto y solo en la medida que lo exijan los términos de licencia de terceros que rigen el uso de ciertos componentes de código abierto que se podrían incluir en el software;</w:t>
      </w:r>
    </w:p>
    <w:p w:rsidR="00FD293A" w:rsidRPr="00C45CAE" w:rsidRDefault="00FD293A">
      <w:pPr>
        <w:pStyle w:val="Bullet2"/>
        <w:widowControl w:val="0"/>
        <w:rPr>
          <w:rFonts w:eastAsia="SimSun"/>
          <w:sz w:val="20"/>
          <w:szCs w:val="20"/>
        </w:rPr>
      </w:pPr>
      <w:r>
        <w:rPr>
          <w:sz w:val="20"/>
          <w:szCs w:val="20"/>
        </w:rPr>
        <w:t xml:space="preserve">eliminar, minimizar, bloquear o modificar ninguna notificación de Microsoft o sus proveedores en el software; </w:t>
      </w:r>
    </w:p>
    <w:p w:rsidR="000E462E" w:rsidRPr="00C45CAE" w:rsidRDefault="000E462E">
      <w:pPr>
        <w:pStyle w:val="Bullet2"/>
        <w:widowControl w:val="0"/>
        <w:rPr>
          <w:rFonts w:eastAsia="SimSun"/>
          <w:sz w:val="20"/>
          <w:szCs w:val="20"/>
        </w:rPr>
      </w:pPr>
      <w:r>
        <w:rPr>
          <w:sz w:val="20"/>
          <w:szCs w:val="20"/>
        </w:rPr>
        <w:t>utilizar el software de ninguna manera que esté en contra de la ley o</w:t>
      </w:r>
    </w:p>
    <w:p w:rsidR="00F15EA7" w:rsidRPr="00C45CAE" w:rsidRDefault="000E462E">
      <w:pPr>
        <w:pStyle w:val="Bullet2"/>
        <w:widowControl w:val="0"/>
        <w:rPr>
          <w:rFonts w:eastAsia="SimSun"/>
          <w:sz w:val="20"/>
          <w:szCs w:val="20"/>
        </w:rPr>
      </w:pPr>
      <w:r>
        <w:rPr>
          <w:sz w:val="20"/>
          <w:szCs w:val="20"/>
        </w:rPr>
        <w:t>compartir, publicar, alquilar o dar el software en préstamo, ni entregarlo como solución hospedada independiente para que otros lo utilicen, así como tampoco transmitir el software ni este contrato a terceros.</w:t>
      </w:r>
    </w:p>
    <w:p w:rsidR="00F15EA7" w:rsidRPr="00C45CAE" w:rsidRDefault="00E47200">
      <w:pPr>
        <w:pStyle w:val="Heading1"/>
        <w:widowControl w:val="0"/>
        <w:rPr>
          <w:rStyle w:val="Hyperlink"/>
          <w:rFonts w:eastAsia="SimSun" w:cs="Tahoma"/>
          <w:b w:val="0"/>
          <w:bCs w:val="0"/>
          <w:color w:val="auto"/>
          <w:sz w:val="20"/>
          <w:szCs w:val="20"/>
          <w:u w:val="none"/>
        </w:rPr>
      </w:pPr>
      <w:r>
        <w:rPr>
          <w:sz w:val="20"/>
          <w:szCs w:val="20"/>
        </w:rPr>
        <w:t>RESTRICCIONES EN MATERIA DE EXPORTACIÓN.</w:t>
      </w:r>
      <w:r>
        <w:rPr>
          <w:b w:val="0"/>
          <w:bCs w:val="0"/>
          <w:sz w:val="20"/>
          <w:szCs w:val="20"/>
        </w:rPr>
        <w:t xml:space="preserve"> También debe cumplir con todas las leyes y reglamentos locales e internacionales de exportación que se apliquen al software, incluidas restricciones de destino, usuarios finales y uso final. </w:t>
      </w:r>
      <w:r>
        <w:rPr>
          <w:b w:val="0"/>
          <w:bCs w:val="0"/>
        </w:rPr>
        <w:t xml:space="preserve">Para obtener más información sobre las restricciones en materia de exportación, visite </w:t>
      </w:r>
      <w:hyperlink r:id="rId11" w:history="1">
        <w:r>
          <w:rPr>
            <w:rStyle w:val="Hyperlink"/>
            <w:b w:val="0"/>
            <w:bCs w:val="0"/>
            <w:sz w:val="20"/>
            <w:szCs w:val="20"/>
          </w:rPr>
          <w:t>www.microsoft.com/exporting</w:t>
        </w:r>
      </w:hyperlink>
      <w:r>
        <w:rPr>
          <w:b w:val="0"/>
          <w:bCs w:val="0"/>
          <w:sz w:val="20"/>
          <w:szCs w:val="20"/>
        </w:rPr>
        <w:t xml:space="preserve">. </w:t>
      </w:r>
    </w:p>
    <w:p w:rsidR="00F15EA7" w:rsidRPr="00C45CAE" w:rsidRDefault="00E47200">
      <w:pPr>
        <w:pStyle w:val="Heading1"/>
        <w:widowControl w:val="0"/>
        <w:rPr>
          <w:rFonts w:eastAsia="SimSun"/>
          <w:b w:val="0"/>
          <w:bCs w:val="0"/>
          <w:sz w:val="20"/>
          <w:szCs w:val="20"/>
        </w:rPr>
      </w:pPr>
      <w:r>
        <w:rPr>
          <w:sz w:val="20"/>
          <w:szCs w:val="20"/>
        </w:rPr>
        <w:t xml:space="preserve">SERVICIOS DE SOPORTE TÉCNICO. </w:t>
      </w:r>
      <w:r>
        <w:rPr>
          <w:b w:val="0"/>
          <w:bCs w:val="0"/>
          <w:sz w:val="20"/>
          <w:szCs w:val="20"/>
        </w:rPr>
        <w:t>Debido a que este software se presenta “tal cual”, no podemos prestar servicios de soporte técnico para el mismo.</w:t>
      </w:r>
    </w:p>
    <w:p w:rsidR="00F15EA7" w:rsidRPr="00C45CAE" w:rsidRDefault="00E47200">
      <w:pPr>
        <w:pStyle w:val="Heading1"/>
        <w:widowControl w:val="0"/>
        <w:rPr>
          <w:rFonts w:eastAsia="SimSun"/>
          <w:b w:val="0"/>
          <w:bCs w:val="0"/>
          <w:sz w:val="20"/>
          <w:szCs w:val="20"/>
        </w:rPr>
      </w:pPr>
      <w:r>
        <w:rPr>
          <w:sz w:val="20"/>
          <w:szCs w:val="20"/>
        </w:rPr>
        <w:t>CONTRATO COMPLETO.</w:t>
      </w:r>
      <w:r>
        <w:rPr>
          <w:b w:val="0"/>
          <w:bCs w:val="0"/>
          <w:sz w:val="20"/>
          <w:szCs w:val="20"/>
        </w:rPr>
        <w:t xml:space="preserve"> Este contrato y los términos aplicables a complementos, actualizaciones, servicios basados en Internet y servicios de soporte técnico que utilice constituyen el contrato completo respecto al software y a los servicios de soporte técnico.</w:t>
      </w:r>
    </w:p>
    <w:p w:rsidR="00F15EA7" w:rsidRPr="00C45CAE" w:rsidRDefault="00E47200">
      <w:pPr>
        <w:pStyle w:val="Heading1"/>
        <w:widowControl w:val="0"/>
        <w:ind w:left="360" w:hanging="360"/>
        <w:rPr>
          <w:rFonts w:eastAsia="SimSun"/>
          <w:sz w:val="20"/>
          <w:szCs w:val="20"/>
        </w:rPr>
      </w:pPr>
      <w:r>
        <w:rPr>
          <w:sz w:val="20"/>
          <w:szCs w:val="20"/>
        </w:rPr>
        <w:t xml:space="preserve">LEGISLACIÓN APLICABLE. </w:t>
      </w:r>
      <w:r>
        <w:rPr>
          <w:b w:val="0"/>
          <w:sz w:val="20"/>
          <w:szCs w:val="20"/>
        </w:rPr>
        <w:t>Si adquirió el software en los Estados Unidos, la legislación del estado de Washington regirá la interpretación de este contrato, así como las reclamaciones por incumplimiento, y la legislación del estado donde usted resida regirá todas las demás reclamaciones. Si adquirió el software en otro país, se aplicarán las leyes de dicho país.</w:t>
      </w:r>
    </w:p>
    <w:p w:rsidR="00E400F3" w:rsidRPr="00E400F3" w:rsidRDefault="00E400F3" w:rsidP="00E400F3">
      <w:pPr>
        <w:pStyle w:val="Heading1"/>
        <w:tabs>
          <w:tab w:val="clear" w:pos="360"/>
          <w:tab w:val="num" w:pos="540"/>
        </w:tabs>
        <w:ind w:left="360" w:hanging="360"/>
        <w:rPr>
          <w:b w:val="0"/>
          <w:sz w:val="20"/>
          <w:szCs w:val="20"/>
        </w:rPr>
      </w:pPr>
      <w:r>
        <w:rPr>
          <w:sz w:val="20"/>
          <w:szCs w:val="20"/>
        </w:rPr>
        <w:t xml:space="preserve">DERECHOS DE CONSUMIDOR; VARIANTES REGIONALES. </w:t>
      </w:r>
      <w:r>
        <w:rPr>
          <w:b w:val="0"/>
          <w:sz w:val="20"/>
          <w:szCs w:val="20"/>
        </w:rPr>
        <w:t>En este contrato se describen determinados derechos legales. Puede que usted tenga otros derechos, incluidos derechos del consumidor, según la legislación de su estado o país. Por separado e independientemente de su relación con Microsoft, puede tener derechos con respecto a la parte de la que adquirió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rsidR="00E400F3" w:rsidRPr="00E400F3" w:rsidRDefault="00E400F3" w:rsidP="00E400F3">
      <w:pPr>
        <w:pStyle w:val="Heading2"/>
        <w:numPr>
          <w:ilvl w:val="0"/>
          <w:numId w:val="15"/>
        </w:numPr>
        <w:rPr>
          <w:b w:val="0"/>
          <w:sz w:val="20"/>
          <w:szCs w:val="20"/>
        </w:rPr>
      </w:pPr>
      <w:r>
        <w:rPr>
          <w:sz w:val="20"/>
          <w:szCs w:val="20"/>
        </w:rPr>
        <w:t xml:space="preserve">Australia. </w:t>
      </w:r>
      <w:r>
        <w:rPr>
          <w:b w:val="0"/>
          <w:sz w:val="20"/>
          <w:szCs w:val="20"/>
        </w:rPr>
        <w:t>Usted cuenta con garantías legales en virtud de la Ley de protección al consumidor de Australia y ningún punto de este contrato pretende modificar dichos derechos.</w:t>
      </w:r>
    </w:p>
    <w:p w:rsidR="00E400F3" w:rsidRPr="00E400F3" w:rsidRDefault="00E400F3" w:rsidP="00E400F3">
      <w:pPr>
        <w:pStyle w:val="Heading2"/>
        <w:numPr>
          <w:ilvl w:val="0"/>
          <w:numId w:val="15"/>
        </w:numPr>
        <w:rPr>
          <w:b w:val="0"/>
          <w:sz w:val="20"/>
          <w:szCs w:val="20"/>
        </w:rPr>
      </w:pPr>
      <w:r>
        <w:rPr>
          <w:sz w:val="20"/>
          <w:szCs w:val="20"/>
        </w:rPr>
        <w:t xml:space="preserve">Canadá. </w:t>
      </w:r>
      <w:r>
        <w:rPr>
          <w:b w:val="0"/>
          <w:sz w:val="20"/>
          <w:szCs w:val="20"/>
        </w:rPr>
        <w:t>Si adquirió este software en Canadá, puede dejar de recibir actualizaciones automáticas al desactivar esta característica, desconectar su dispositivo de Internet (sin embargo, cuando se vuelva a conectar a Internet, el software continuará buscando y descargando actualizaciones) o desinstalar el software. La documentación del producto, de haberla, también puede especificar cómo desactivar las actualizaciones para su dispositivo o software específico.</w:t>
      </w:r>
    </w:p>
    <w:p w:rsidR="00E400F3" w:rsidRPr="00E400F3" w:rsidRDefault="00E400F3" w:rsidP="00E400F3">
      <w:pPr>
        <w:pStyle w:val="Heading2"/>
        <w:numPr>
          <w:ilvl w:val="0"/>
          <w:numId w:val="15"/>
        </w:numPr>
        <w:rPr>
          <w:b w:val="0"/>
          <w:sz w:val="20"/>
          <w:szCs w:val="20"/>
        </w:rPr>
      </w:pPr>
      <w:r>
        <w:rPr>
          <w:sz w:val="20"/>
          <w:szCs w:val="20"/>
        </w:rPr>
        <w:t>Alemania y Austria</w:t>
      </w:r>
      <w:r>
        <w:rPr>
          <w:b w:val="0"/>
          <w:sz w:val="20"/>
          <w:szCs w:val="20"/>
        </w:rPr>
        <w:t>.</w:t>
      </w:r>
    </w:p>
    <w:p w:rsidR="00E400F3" w:rsidRPr="00E400F3" w:rsidRDefault="00E400F3" w:rsidP="00E400F3">
      <w:pPr>
        <w:ind w:left="717"/>
        <w:rPr>
          <w:sz w:val="20"/>
          <w:szCs w:val="20"/>
        </w:rPr>
      </w:pPr>
      <w:r>
        <w:rPr>
          <w:b/>
          <w:sz w:val="20"/>
          <w:szCs w:val="20"/>
        </w:rPr>
        <w:t>(i)</w:t>
      </w:r>
      <w:r>
        <w:rPr>
          <w:sz w:val="20"/>
          <w:szCs w:val="20"/>
        </w:rPr>
        <w:tab/>
      </w:r>
      <w:r>
        <w:rPr>
          <w:b/>
          <w:sz w:val="20"/>
          <w:szCs w:val="20"/>
        </w:rPr>
        <w:t>Garantía</w:t>
      </w:r>
      <w:r>
        <w:rPr>
          <w:sz w:val="20"/>
          <w:szCs w:val="20"/>
        </w:rPr>
        <w:t>. El software debidamente licenciado funcionará, sustancialmente, como se describe en cualquier material de Microsoft que acompaña al software. Sin embargo, Microsoft no otorga garantía contractual en relación con el software licenciado.</w:t>
      </w:r>
    </w:p>
    <w:p w:rsidR="00E400F3" w:rsidRPr="00E400F3" w:rsidRDefault="00E400F3" w:rsidP="00E400F3">
      <w:pPr>
        <w:ind w:left="717"/>
        <w:rPr>
          <w:sz w:val="20"/>
          <w:szCs w:val="20"/>
        </w:rPr>
      </w:pPr>
      <w:r>
        <w:rPr>
          <w:b/>
          <w:sz w:val="20"/>
          <w:szCs w:val="20"/>
        </w:rPr>
        <w:t>(ii)</w:t>
      </w:r>
      <w:r>
        <w:rPr>
          <w:sz w:val="20"/>
          <w:szCs w:val="20"/>
        </w:rPr>
        <w:tab/>
      </w:r>
      <w:r>
        <w:rPr>
          <w:b/>
          <w:sz w:val="20"/>
          <w:szCs w:val="20"/>
        </w:rPr>
        <w:t>Limitación de responsabilidad</w:t>
      </w:r>
      <w:r>
        <w:rPr>
          <w:sz w:val="20"/>
          <w:szCs w:val="20"/>
        </w:rPr>
        <w:t>. En caso de conducta intencionada, negligencia grave, reclamaciones basadas en la Ley de Responsabilidad Civil del Fabricante (Product Liability Act), así como en caso de muerte o lesiones personales o físicas, la responsabilidad de Microsoft estará supeditada a la legislación aplicable.</w:t>
      </w:r>
    </w:p>
    <w:p w:rsidR="00E400F3" w:rsidRPr="00E400F3" w:rsidRDefault="00E400F3" w:rsidP="00E400F3">
      <w:pPr>
        <w:pStyle w:val="Heading1"/>
        <w:numPr>
          <w:ilvl w:val="0"/>
          <w:numId w:val="0"/>
        </w:numPr>
        <w:ind w:left="717"/>
        <w:rPr>
          <w:b w:val="0"/>
          <w:sz w:val="20"/>
          <w:szCs w:val="20"/>
        </w:rPr>
      </w:pPr>
      <w:r>
        <w:rPr>
          <w:b w:val="0"/>
          <w:sz w:val="20"/>
          <w:szCs w:val="20"/>
        </w:rPr>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w:t>
      </w:r>
      <w:r>
        <w:rPr>
          <w:b w:val="0"/>
          <w:sz w:val="20"/>
          <w:szCs w:val="20"/>
        </w:rPr>
        <w:lastRenderedPageBreak/>
        <w:t>(denominadas "obligaciones cardinales"). En otros casos de negligencia leve, Microsoft no será responsable de dicha negligencia.</w:t>
      </w:r>
    </w:p>
    <w:p w:rsidR="00F15EA7" w:rsidRPr="00C45CAE" w:rsidRDefault="00E47200">
      <w:pPr>
        <w:pStyle w:val="Heading1"/>
        <w:rPr>
          <w:rFonts w:eastAsia="SimSun"/>
          <w:sz w:val="20"/>
          <w:szCs w:val="20"/>
        </w:rPr>
      </w:pPr>
      <w:r>
        <w:rPr>
          <w:sz w:val="20"/>
          <w:szCs w:val="20"/>
        </w:rPr>
        <w:t>EXCLUSIÓN DE GARANTÍAS. EL SOFTWARE SE LICENCIA “TAL CUAL”. USTED ACEPTA EL RIESGO DE UTILIZARLO. MICROSOFT NO OTORGA NINGUNA GARANTÍA NI CONDICIÓN EXPRESAS. EN LA MEDIDA QUE ASÍ LO PERMITA LA LEGISLACIÓN LOCAL, MICROSOFT EXCLUYE LAS GARANTÍAS IMPLÍCITAS DE COMERCIABILIDAD, IDONEIDAD PARA UN FIN PARTICULAR Y AUSENCIA DE INFRACCIÓN DE DERECHOS.</w:t>
      </w:r>
    </w:p>
    <w:p w:rsidR="00F15EA7" w:rsidRPr="00C45CAE" w:rsidRDefault="00E47200">
      <w:pPr>
        <w:pStyle w:val="Heading1"/>
        <w:rPr>
          <w:sz w:val="20"/>
          <w:szCs w:val="20"/>
        </w:rPr>
      </w:pPr>
      <w:r>
        <w:rPr>
          <w:sz w:val="20"/>
          <w:szCs w:val="20"/>
        </w:rPr>
        <w:t>LIMITACIÓN Y EXCLUSIÓN DE INDEMNIZACIONES. LA CANTIDAD MÁXIMA QUE SE PODRÁ OBTENER DE MICROSOFT Y DE SUS PROVEEDORES EN CONCEPTO DE INDEMNIZACIÓN POR DAÑOS DIRECTOS SERÁ DE USD 5. NO PODRÁ OBTENER INDEMNIZACIÓN ALGUNA POR DAÑOS DE OTRA ÍNDOLE, INCLUIDOS LOS DAÑOS CONSECUENCIALES, POR LUCRO CESANTE, ESPECIALES, INDIRECTOS O INCIDENTALES.</w:t>
      </w:r>
    </w:p>
    <w:p w:rsidR="00F15EA7" w:rsidRPr="00C45CAE" w:rsidRDefault="00E47200" w:rsidP="0071730A">
      <w:pPr>
        <w:pStyle w:val="Body1"/>
        <w:widowControl w:val="0"/>
        <w:rPr>
          <w:rFonts w:eastAsia="SimSun"/>
          <w:sz w:val="20"/>
          <w:szCs w:val="20"/>
        </w:rPr>
      </w:pPr>
      <w:r>
        <w:rPr>
          <w:sz w:val="20"/>
          <w:szCs w:val="20"/>
        </w:rPr>
        <w:t>Esta limitación se aplica a: (a) 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rsidR="00F15EA7" w:rsidRDefault="00E47200">
      <w:pPr>
        <w:widowControl w:val="0"/>
        <w:ind w:left="360"/>
        <w:rPr>
          <w:rFonts w:eastAsia="SimSun"/>
          <w:sz w:val="20"/>
          <w:szCs w:val="20"/>
        </w:rPr>
      </w:pPr>
      <w:r>
        <w:rPr>
          <w:sz w:val="20"/>
          <w:szCs w:val="20"/>
        </w:rPr>
        <w:t>Asimismo, también se aplicará incluso si Microsoft conocía o debería haber conocido la posibilidad de que se produjesen dichos daños. También pueden producirse situaciones en las que la limitación o exclusión precedente no pueda aplicarse a su caso porque su jurisdicción no admite la exclusión o limitación de daños incidentales, consecuenciales o de otra índole.</w:t>
      </w:r>
    </w:p>
    <w:p w:rsidR="00DB1D53" w:rsidRDefault="00DB1D53">
      <w:pPr>
        <w:widowControl w:val="0"/>
        <w:ind w:left="360"/>
        <w:rPr>
          <w:rFonts w:eastAsia="SimSun"/>
          <w:sz w:val="20"/>
          <w:szCs w:val="20"/>
        </w:rPr>
      </w:pPr>
    </w:p>
    <w:p w:rsidR="00DB1D53" w:rsidRPr="00C45CAE" w:rsidRDefault="00DB1D53" w:rsidP="00DB1D53">
      <w:pPr>
        <w:widowControl w:val="0"/>
        <w:ind w:left="360"/>
        <w:rPr>
          <w:rFonts w:eastAsia="SimSun"/>
          <w:sz w:val="20"/>
          <w:szCs w:val="20"/>
        </w:rPr>
      </w:pPr>
      <w:r>
        <w:rPr>
          <w:sz w:val="20"/>
          <w:szCs w:val="20"/>
        </w:rPr>
        <w:t>EULA ID: VS 2017_TOOLS_ADDONs_C++_RTW.3_E</w:t>
      </w:r>
      <w:r w:rsidR="0092400B">
        <w:rPr>
          <w:sz w:val="20"/>
          <w:szCs w:val="20"/>
        </w:rPr>
        <w:t>SN</w:t>
      </w:r>
      <w:bookmarkStart w:id="0" w:name="_GoBack"/>
      <w:bookmarkEnd w:id="0"/>
    </w:p>
    <w:p w:rsidR="00DB1D53" w:rsidRPr="00C45CAE" w:rsidRDefault="00DB1D53">
      <w:pPr>
        <w:widowControl w:val="0"/>
        <w:ind w:left="360"/>
        <w:rPr>
          <w:rFonts w:eastAsia="SimSun"/>
          <w:sz w:val="20"/>
          <w:szCs w:val="20"/>
        </w:rPr>
      </w:pPr>
    </w:p>
    <w:sectPr w:rsidR="00DB1D53"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40" w:rsidRDefault="00116B40">
      <w:pPr>
        <w:rPr>
          <w:rFonts w:cs="Times New Roman"/>
        </w:rPr>
      </w:pPr>
      <w:r>
        <w:rPr>
          <w:rFonts w:cs="Times New Roman"/>
        </w:rPr>
        <w:separator/>
      </w:r>
    </w:p>
  </w:endnote>
  <w:endnote w:type="continuationSeparator" w:id="0">
    <w:p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40" w:rsidRDefault="00116B40">
      <w:pPr>
        <w:rPr>
          <w:rFonts w:cs="Times New Roman"/>
        </w:rPr>
      </w:pPr>
      <w:r>
        <w:rPr>
          <w:rFonts w:cs="Times New Roman"/>
        </w:rPr>
        <w:separator/>
      </w:r>
    </w:p>
  </w:footnote>
  <w:footnote w:type="continuationSeparator" w:id="0">
    <w:p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E305D"/>
    <w:rsid w:val="004730C0"/>
    <w:rsid w:val="0048051A"/>
    <w:rsid w:val="00487F19"/>
    <w:rsid w:val="004A71FC"/>
    <w:rsid w:val="004B40A2"/>
    <w:rsid w:val="004C2CF0"/>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2400B"/>
    <w:rsid w:val="0095185A"/>
    <w:rsid w:val="0097287C"/>
    <w:rsid w:val="009B2EFB"/>
    <w:rsid w:val="009B6298"/>
    <w:rsid w:val="00A060BA"/>
    <w:rsid w:val="00A32BB6"/>
    <w:rsid w:val="00A333A7"/>
    <w:rsid w:val="00A44DF6"/>
    <w:rsid w:val="00A76133"/>
    <w:rsid w:val="00AA776B"/>
    <w:rsid w:val="00AC393B"/>
    <w:rsid w:val="00B23DFB"/>
    <w:rsid w:val="00B406AF"/>
    <w:rsid w:val="00BA3404"/>
    <w:rsid w:val="00BE609E"/>
    <w:rsid w:val="00C3080D"/>
    <w:rsid w:val="00C45CAE"/>
    <w:rsid w:val="00C46E61"/>
    <w:rsid w:val="00C618CC"/>
    <w:rsid w:val="00C75044"/>
    <w:rsid w:val="00C831EA"/>
    <w:rsid w:val="00C86DC7"/>
    <w:rsid w:val="00C97391"/>
    <w:rsid w:val="00D1164B"/>
    <w:rsid w:val="00D44C9C"/>
    <w:rsid w:val="00D60880"/>
    <w:rsid w:val="00D83150"/>
    <w:rsid w:val="00DB1D53"/>
    <w:rsid w:val="00DC02A8"/>
    <w:rsid w:val="00E26362"/>
    <w:rsid w:val="00E400F3"/>
    <w:rsid w:val="00E47200"/>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A467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s-AR" w:eastAsia="en-US"/>
    </w:rPr>
  </w:style>
  <w:style w:type="character" w:customStyle="1" w:styleId="Body3Char">
    <w:name w:val="Body 3 Char"/>
    <w:basedOn w:val="DefaultParagraphFont"/>
    <w:uiPriority w:val="99"/>
    <w:rPr>
      <w:rFonts w:ascii="Tahoma" w:hAnsi="Tahoma" w:cs="Tahoma"/>
      <w:lang w:val="es-AR" w:eastAsia="en-US"/>
    </w:rPr>
  </w:style>
  <w:style w:type="character" w:customStyle="1" w:styleId="Body4Char">
    <w:name w:val="Body 4 Char"/>
    <w:basedOn w:val="DefaultParagraphFont"/>
    <w:uiPriority w:val="99"/>
    <w:rPr>
      <w:rFonts w:ascii="Tahoma" w:hAnsi="Tahoma" w:cs="Tahoma"/>
      <w:lang w:val="es-AR" w:eastAsia="en-US"/>
    </w:rPr>
  </w:style>
  <w:style w:type="character" w:customStyle="1" w:styleId="Body1Char">
    <w:name w:val="Body 1 Char"/>
    <w:basedOn w:val="DefaultParagraphFont"/>
    <w:uiPriority w:val="99"/>
    <w:rPr>
      <w:rFonts w:ascii="Tahoma" w:hAnsi="Tahoma" w:cs="Tahoma"/>
      <w:lang w:val="es-AR"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s-AR"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s-AR"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s-AR"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s-AR"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es-AR"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8DCF-E600-4679-B0F3-A38BFFDB6B9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28682</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