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EA7" w:rsidRPr="00C45CAE" w:rsidRDefault="00E47200">
      <w:pPr>
        <w:pStyle w:val="HeadingEULA"/>
        <w:widowControl w:val="0"/>
        <w:rPr>
          <w:rFonts w:eastAsia="SimSun"/>
          <w:sz w:val="20"/>
          <w:szCs w:val="20"/>
        </w:rPr>
      </w:pPr>
      <w:r>
        <w:rPr>
          <w:sz w:val="20"/>
          <w:szCs w:val="20"/>
        </w:rPr>
        <w:t>CONTRATTO DI LICENZA PER IL SOFTWARE MICROSOFT</w:t>
      </w:r>
    </w:p>
    <w:p w:rsidR="00F15EA7" w:rsidRPr="00C45CAE" w:rsidRDefault="00E47200">
      <w:pPr>
        <w:pStyle w:val="HeadingSoftwareTitle"/>
        <w:widowControl w:val="0"/>
        <w:rPr>
          <w:rFonts w:eastAsia="SimSun"/>
          <w:sz w:val="20"/>
          <w:szCs w:val="20"/>
        </w:rPr>
      </w:pPr>
      <w:r>
        <w:rPr>
          <w:sz w:val="20"/>
          <w:szCs w:val="20"/>
        </w:rPr>
        <w:t xml:space="preserve">STRUMENTI, ADD-ON ED ESTENSIONI MICROSOFT VISUAL STUDIO 2017  </w:t>
      </w:r>
    </w:p>
    <w:p w:rsidR="00F15EA7" w:rsidRPr="00C45CAE" w:rsidRDefault="00E47200">
      <w:pPr>
        <w:pStyle w:val="Preamble"/>
        <w:widowControl w:val="0"/>
        <w:rPr>
          <w:rFonts w:eastAsia="SimSun"/>
          <w:b w:val="0"/>
          <w:bCs w:val="0"/>
          <w:sz w:val="20"/>
          <w:szCs w:val="20"/>
        </w:rPr>
      </w:pPr>
      <w:r>
        <w:rPr>
          <w:b w:val="0"/>
          <w:bCs w:val="0"/>
          <w:sz w:val="20"/>
          <w:szCs w:val="20"/>
        </w:rPr>
        <w:t>Le presenti condizioni di licenza costituiscono il contratto tra Microsoft Corporation (o, in base al luogo di residenza del licenziatario, una delle sue consociate) e il licenziatario, Tali condizioni si applicano al software Microsoft di cui sopra. Le condizioni si applicano inoltre a qualsiasi servizio o aggiornamento di Microsoft relativo al software, a meno che questo non sia accompagnato da condizioni differenti.</w:t>
      </w:r>
    </w:p>
    <w:p w:rsidR="00F15EA7" w:rsidRPr="00C45CAE" w:rsidRDefault="00E47200">
      <w:pPr>
        <w:pStyle w:val="PreambleBorderAbove"/>
        <w:widowControl w:val="0"/>
        <w:rPr>
          <w:rFonts w:eastAsia="SimSun"/>
          <w:sz w:val="20"/>
          <w:szCs w:val="20"/>
        </w:rPr>
      </w:pPr>
      <w:r>
        <w:rPr>
          <w:sz w:val="20"/>
          <w:szCs w:val="20"/>
        </w:rPr>
        <w:t>QUALORA IL LICENZIATARIO SI ATTENGA ALLE PRESENTI CONDIZIONI DI LICENZA, DISPORRÀ DEI DIRITTI INDICATI DI SEGUITO.</w:t>
      </w:r>
    </w:p>
    <w:p w:rsidR="00B406AF" w:rsidRPr="00C45CAE" w:rsidRDefault="00E47200">
      <w:pPr>
        <w:pStyle w:val="Heading1"/>
        <w:widowControl w:val="0"/>
        <w:rPr>
          <w:rFonts w:eastAsia="SimSun"/>
          <w:b w:val="0"/>
          <w:bCs w:val="0"/>
          <w:sz w:val="20"/>
          <w:szCs w:val="20"/>
        </w:rPr>
      </w:pPr>
      <w:r>
        <w:rPr>
          <w:sz w:val="20"/>
          <w:szCs w:val="20"/>
        </w:rPr>
        <w:t xml:space="preserve">INSTALLAZIONE E DIRITTI SULL’UTILIZZO. </w:t>
      </w:r>
    </w:p>
    <w:p w:rsidR="00F15EA7" w:rsidRPr="00C45CAE" w:rsidRDefault="00E47200" w:rsidP="00B23DFB">
      <w:pPr>
        <w:pStyle w:val="Heading2"/>
        <w:numPr>
          <w:ilvl w:val="0"/>
          <w:numId w:val="0"/>
        </w:numPr>
        <w:ind w:left="357"/>
        <w:rPr>
          <w:rStyle w:val="Body2Char"/>
          <w:rFonts w:eastAsia="SimSun"/>
          <w:b w:val="0"/>
          <w:bCs w:val="0"/>
          <w:sz w:val="20"/>
          <w:szCs w:val="20"/>
        </w:rPr>
      </w:pPr>
      <w:r>
        <w:rPr>
          <w:rStyle w:val="Body2Char"/>
          <w:b w:val="0"/>
          <w:bCs w:val="0"/>
          <w:sz w:val="20"/>
          <w:szCs w:val="20"/>
        </w:rPr>
        <w:t>Il licenziatario potrà installare e utilizzare un numero qualsiasi di copie del software.</w:t>
      </w:r>
    </w:p>
    <w:p w:rsidR="0054177A" w:rsidRPr="00C45CAE" w:rsidRDefault="0054177A">
      <w:pPr>
        <w:pStyle w:val="Heading1"/>
        <w:widowControl w:val="0"/>
        <w:rPr>
          <w:rStyle w:val="Body2Char"/>
          <w:rFonts w:eastAsia="SimSun"/>
          <w:b w:val="0"/>
          <w:bCs w:val="0"/>
          <w:sz w:val="20"/>
          <w:szCs w:val="20"/>
        </w:rPr>
      </w:pPr>
      <w:r>
        <w:rPr>
          <w:sz w:val="20"/>
          <w:szCs w:val="20"/>
        </w:rPr>
        <w:t>CONDIZIONI PER COMPONENTI SPECIFICI.</w:t>
      </w:r>
    </w:p>
    <w:p w:rsidR="00585893" w:rsidRPr="00A44DF6" w:rsidRDefault="00585893" w:rsidP="0054177A">
      <w:pPr>
        <w:pStyle w:val="Heading2"/>
        <w:rPr>
          <w:rFonts w:eastAsia="SimSun"/>
          <w:b w:val="0"/>
          <w:sz w:val="20"/>
          <w:szCs w:val="20"/>
        </w:rPr>
      </w:pPr>
      <w:r>
        <w:rPr>
          <w:sz w:val="20"/>
          <w:szCs w:val="20"/>
        </w:rPr>
        <w:t xml:space="preserve">Utilità. </w:t>
      </w:r>
      <w:r>
        <w:rPr>
          <w:b w:val="0"/>
          <w:sz w:val="20"/>
          <w:szCs w:val="20"/>
        </w:rPr>
        <w:t xml:space="preserve">Il software potrà contenere alcuni componenti identificati nell’Elenco delle Utilità alla pagina </w:t>
      </w:r>
      <w:hyperlink r:id="rId8" w:history="1">
        <w:r>
          <w:rPr>
            <w:rStyle w:val="Hyperlink"/>
            <w:b w:val="0"/>
            <w:sz w:val="20"/>
            <w:szCs w:val="20"/>
          </w:rPr>
          <w:t>https://go.microsoft.com/fwlink/?linkid=823097</w:t>
        </w:r>
      </w:hyperlink>
      <w:r>
        <w:rPr>
          <w:b w:val="0"/>
          <w:sz w:val="20"/>
          <w:szCs w:val="20"/>
        </w:rPr>
        <w:t xml:space="preserve">.   Il licenziatario potrà duplicare e installare tali Utilità, qualora siano incluse nel software, su dispositivi per eseguire il debug e la distribuzione delle applicazioni e dei database che ha sviluppato con il software. </w:t>
      </w:r>
      <w:r>
        <w:rPr>
          <w:b w:val="0"/>
          <w:bCs w:val="0"/>
          <w:sz w:val="20"/>
          <w:szCs w:val="20"/>
        </w:rPr>
        <w:t>Il licenziatario dovrà tenere presente che le Utilità sono progettate per un utilizzo temporaneo, che Microsoft potrebbe non essere in grado di applicare patch alle Utilità né di aggiornarle separatamente dal resto del software e che alcune Utilità potrebbero consentire ad altri di accedere ai dispositivi su cui sono installate. Di conseguenza, il licenziatario deve eliminare tutte le Utilità installate al termine del debug o della distribuzione di applicazioni e database.  Microsoft non è responsabile dell’utilizzo da parte di terzi delle Utilità che il licenziatario installa su un dispositivo, né dell’accesso ad esse</w:t>
      </w:r>
      <w:r>
        <w:rPr>
          <w:b w:val="0"/>
          <w:sz w:val="20"/>
          <w:szCs w:val="20"/>
        </w:rPr>
        <w:t>.</w:t>
      </w:r>
    </w:p>
    <w:p w:rsidR="00A44DF6" w:rsidRPr="00C45CAE" w:rsidRDefault="00A44DF6" w:rsidP="0054177A">
      <w:pPr>
        <w:pStyle w:val="Heading2"/>
        <w:rPr>
          <w:rFonts w:eastAsia="SimSun"/>
          <w:b w:val="0"/>
          <w:sz w:val="20"/>
          <w:szCs w:val="20"/>
        </w:rPr>
      </w:pPr>
      <w:r>
        <w:t>Build Tools.</w:t>
      </w:r>
      <w:r>
        <w:rPr>
          <w:b w:val="0"/>
        </w:rPr>
        <w:t xml:space="preserve">  Il software potrà includere strumenti di compilazione con condizioni per l’utilizzo specifiche.   Per quanto concerne gli strumenti di compilazione, il licenziatario potrà duplicare e installare i file del software sui propri dispositivi di compilazione, inclusi i dispositivi fisici e le macchine virtuali o i contenitori su tali macchine, sia su macchine locali che remote di proprietà del licenziatario, ospitate su Azure per il licenziatario o dedicate esclusivamente all’utilizzo da parte del licenziatario (collettivamente, “Dispositivi di Compilazione”).  Il licenziatario e altri soggetti all’interno dell’organizzazione potranno utilizzare t</w:t>
      </w:r>
      <w:r>
        <w:rPr>
          <w:b w:val="0"/>
          <w:bCs w:val="0"/>
        </w:rPr>
        <w:t>ali file presenti nei Dispositivi di Compilazione solo per compilare e verificare le applicazioni oppure per eseguire test di qualità o delle prestazioni di tali applicazioni durante il processo di compilazione.  Per chiarezza, “applicazioni” indica le applicazioni sviluppate dal licenziatario e da altri soggetti della sua organizzazione, ciascuno dei quali è autorizzato a utilizzare il software.</w:t>
      </w:r>
    </w:p>
    <w:p w:rsidR="0054177A" w:rsidRPr="00C45CAE" w:rsidRDefault="0054177A" w:rsidP="0054177A">
      <w:pPr>
        <w:pStyle w:val="Heading2"/>
        <w:rPr>
          <w:rFonts w:eastAsia="SimSun"/>
          <w:b w:val="0"/>
          <w:sz w:val="20"/>
          <w:szCs w:val="20"/>
        </w:rPr>
      </w:pPr>
      <w:r>
        <w:rPr>
          <w:sz w:val="20"/>
          <w:szCs w:val="20"/>
        </w:rPr>
        <w:t xml:space="preserve">Piattaforme Microsoft.  </w:t>
      </w:r>
      <w:r>
        <w:rPr>
          <w:b w:val="0"/>
          <w:sz w:val="20"/>
          <w:szCs w:val="20"/>
        </w:rPr>
        <w:t>Il software potrà includere componenti di Microsoft Windows, Microsoft Windows Server, Microsoft SQL Server, Microsoft Exchange, Microsoft Office e Microsoft SharePoint. Tali componenti sono disciplinati da contratti specifici e dai relativi criteri di supporto dei prodotti, come indicato nella</w:t>
      </w:r>
      <w:r>
        <w:rPr>
          <w:rFonts w:ascii="Garamond" w:hAnsi="Garamond"/>
          <w:b w:val="0"/>
          <w:color w:val="002060"/>
          <w:sz w:val="20"/>
          <w:szCs w:val="20"/>
        </w:rPr>
        <w:t xml:space="preserve"> </w:t>
      </w:r>
      <w:r>
        <w:rPr>
          <w:b w:val="0"/>
          <w:sz w:val="20"/>
          <w:szCs w:val="20"/>
        </w:rPr>
        <w:t>cartella “Licenze” Microsoft fornita insieme al software. Nel caso in cui nella directory di installazione associata siano incluse anche condizioni di licenza per i suddetti componenti, tali condizioni di licenza avranno prevalenza.</w:t>
      </w:r>
    </w:p>
    <w:p w:rsidR="0011022C" w:rsidRDefault="0011022C" w:rsidP="0011022C">
      <w:pPr>
        <w:pStyle w:val="Heading2"/>
        <w:rPr>
          <w:b w:val="0"/>
          <w:sz w:val="20"/>
          <w:szCs w:val="20"/>
        </w:rPr>
      </w:pPr>
      <w:r>
        <w:rPr>
          <w:sz w:val="20"/>
          <w:szCs w:val="20"/>
        </w:rPr>
        <w:t xml:space="preserve">Componenti di Terzi.  </w:t>
      </w:r>
      <w:r>
        <w:rPr>
          <w:b w:val="0"/>
          <w:sz w:val="20"/>
          <w:szCs w:val="20"/>
        </w:rPr>
        <w:t xml:space="preserve">Il software potrà includere componenti di terzi con comunicazioni legali distinte o disciplinati da altri contratti, come indicato nel o nei file ThirdPartyNotices relativi al software.  </w:t>
      </w:r>
    </w:p>
    <w:p w:rsidR="00282039" w:rsidRPr="00282039" w:rsidRDefault="0054177A">
      <w:pPr>
        <w:pStyle w:val="Heading1"/>
        <w:widowControl w:val="0"/>
        <w:rPr>
          <w:b w:val="0"/>
          <w:sz w:val="20"/>
          <w:szCs w:val="20"/>
        </w:rPr>
      </w:pPr>
      <w:r>
        <w:rPr>
          <w:sz w:val="20"/>
          <w:szCs w:val="20"/>
        </w:rPr>
        <w:t xml:space="preserve">DATI.  </w:t>
      </w:r>
    </w:p>
    <w:p w:rsidR="0054177A" w:rsidRDefault="00282039" w:rsidP="00282039">
      <w:pPr>
        <w:pStyle w:val="Heading2"/>
        <w:rPr>
          <w:b w:val="0"/>
          <w:sz w:val="20"/>
          <w:szCs w:val="20"/>
        </w:rPr>
      </w:pPr>
      <w:r>
        <w:rPr>
          <w:sz w:val="20"/>
          <w:szCs w:val="20"/>
        </w:rPr>
        <w:t>Raccolta dei dati.</w:t>
      </w:r>
      <w:r>
        <w:rPr>
          <w:b w:val="0"/>
          <w:sz w:val="20"/>
          <w:szCs w:val="20"/>
        </w:rPr>
        <w:t xml:space="preserve"> Il software potrà raccogliere dati sul licenziatario e su come utilizza il software e inviarli a Microsoft. Microsoft potrà utilizzarle per erogare i servizi e migliorare i prodotti e i servizi offerti.  Il licenziatario potrà rifiutarsi esplicitamente di fornire tali informazioni, ma non tutte, come descritto nella documentazione del prodotto.  Nel software sono disponibili anche </w:t>
      </w:r>
      <w:r>
        <w:rPr>
          <w:b w:val="0"/>
          <w:color w:val="000000"/>
          <w:sz w:val="20"/>
          <w:szCs w:val="20"/>
        </w:rPr>
        <w:t>alcune funzionalità che potranno consentire al licenziatario e a Microsoft di raccogliere dati degli utenti delle applicazioni.</w:t>
      </w:r>
      <w:r>
        <w:rPr>
          <w:b w:val="0"/>
          <w:sz w:val="20"/>
          <w:szCs w:val="20"/>
        </w:rPr>
        <w:t xml:space="preserve"> Qualora il licenziatario utilizzi queste funzionalità, dovrà conformarsi alla legge applicabile, che prevede tra l’altro la fornitura di comunicazioni appropriate agli utenti delle applicazioni, e dovrà </w:t>
      </w:r>
      <w:r>
        <w:rPr>
          <w:b w:val="0"/>
          <w:color w:val="000000"/>
          <w:sz w:val="20"/>
          <w:szCs w:val="20"/>
        </w:rPr>
        <w:t>distribuire una copia dell’informativa sulla privacy di Microsoft a tali utenti. L’informativa sulla privacy di Microsoft è disponibile all’indirizzo</w:t>
      </w:r>
      <w:r>
        <w:rPr>
          <w:b w:val="0"/>
          <w:color w:val="000000"/>
        </w:rPr>
        <w:t xml:space="preserve"> </w:t>
      </w:r>
      <w:hyperlink r:id="rId9" w:history="1">
        <w:r>
          <w:rPr>
            <w:rStyle w:val="Hyperlink"/>
            <w:b w:val="0"/>
            <w:sz w:val="20"/>
            <w:szCs w:val="20"/>
          </w:rPr>
          <w:t>https://go.microsoft.com/fwlink/?LinkID=824704</w:t>
        </w:r>
      </w:hyperlink>
      <w:r>
        <w:rPr>
          <w:b w:val="0"/>
          <w:sz w:val="20"/>
          <w:szCs w:val="20"/>
        </w:rPr>
        <w:t>. Ulteriori informazioni sulla raccolta e il trattamento dei dati sono disponibili nella documentazione di supporto e nell’informativa sulla privacy di Microsoft. L’utilizzo del software da parte del licenziatario costituisce accettazione implicita di tali criteri.</w:t>
      </w:r>
    </w:p>
    <w:p w:rsidR="00282039" w:rsidRPr="00C45CAE" w:rsidRDefault="00282039" w:rsidP="00282039">
      <w:pPr>
        <w:pStyle w:val="Heading2"/>
        <w:rPr>
          <w:b w:val="0"/>
          <w:sz w:val="20"/>
          <w:szCs w:val="20"/>
        </w:rPr>
      </w:pPr>
      <w:r>
        <w:rPr>
          <w:sz w:val="20"/>
          <w:szCs w:val="20"/>
        </w:rPr>
        <w:t>Trattamento dei Dati Personali.</w:t>
      </w:r>
      <w:r>
        <w:rPr>
          <w:b w:val="0"/>
          <w:sz w:val="20"/>
          <w:szCs w:val="20"/>
        </w:rPr>
        <w:t xml:space="preserve"> Qualora Microsoft abbia la funzione di elaboratore principale o secondario dei dati personali relativi al software, farà sì che gli impegni nei confronti di tutte le società riportati nelle Condizioni del Regolamento Europeo per la Protezione dei Dati Personali delleCondizioni per l’Utilizzo dei Servizi Online entrino in vigore il 25 maggio 2018 (</w:t>
      </w:r>
      <w:r>
        <w:rPr>
          <w:b w:val="0"/>
        </w:rPr>
        <w:t xml:space="preserve"> </w:t>
      </w:r>
      <w:hyperlink r:id="rId10" w:history="1">
        <w:r>
          <w:rPr>
            <w:rStyle w:val="Hyperlink"/>
            <w:b w:val="0"/>
          </w:rPr>
          <w:t>http://go.microsoft.com/?linkid=9840733</w:t>
        </w:r>
      </w:hyperlink>
      <w:r>
        <w:rPr>
          <w:b w:val="0"/>
        </w:rPr>
        <w:t>).</w:t>
      </w:r>
    </w:p>
    <w:p w:rsidR="00F15EA7" w:rsidRPr="00C45CAE" w:rsidRDefault="00E47200">
      <w:pPr>
        <w:pStyle w:val="Heading1"/>
        <w:widowControl w:val="0"/>
        <w:rPr>
          <w:rFonts w:eastAsia="SimSun"/>
          <w:b w:val="0"/>
          <w:bCs w:val="0"/>
          <w:sz w:val="20"/>
          <w:szCs w:val="20"/>
        </w:rPr>
      </w:pPr>
      <w:r>
        <w:rPr>
          <w:sz w:val="20"/>
          <w:szCs w:val="20"/>
        </w:rPr>
        <w:lastRenderedPageBreak/>
        <w:t>AMBITO DI VALIDITÀ DELLA LICENZA.</w:t>
      </w:r>
      <w:r>
        <w:rPr>
          <w:b w:val="0"/>
          <w:bCs w:val="0"/>
          <w:sz w:val="20"/>
          <w:szCs w:val="20"/>
        </w:rPr>
        <w:t xml:space="preserve"> Il software non viene venduto, ma è concesso in licenza. Il presente contratto concede al licenziatario solo alcuni diritti di utilizzo del software. Microsoft si riserva tutti gli altri diritti. Nel limite massimo consentito dalla legge applicabile il licenziatario potrà utilizzare il software esclusivamente nei modi espressamente concessi nel presente contratto. Nel far ciò, il contraente dovrà attenersi a qualsiasi limitazione tecnica presente nel software che gli consenta di utilizzarlo solo in determinati modi. L'utente non potrà:</w:t>
      </w:r>
    </w:p>
    <w:p w:rsidR="00F15EA7" w:rsidRPr="00C45CAE" w:rsidRDefault="00E47200">
      <w:pPr>
        <w:pStyle w:val="Bullet2"/>
        <w:widowControl w:val="0"/>
        <w:rPr>
          <w:rFonts w:eastAsia="SimSun"/>
          <w:sz w:val="20"/>
          <w:szCs w:val="20"/>
        </w:rPr>
      </w:pPr>
      <w:r>
        <w:rPr>
          <w:sz w:val="20"/>
          <w:szCs w:val="20"/>
        </w:rPr>
        <w:t>aggirare le limitazioni tecniche presenti nel software;</w:t>
      </w:r>
    </w:p>
    <w:p w:rsidR="00F15EA7" w:rsidRPr="005F767D" w:rsidRDefault="00E47200">
      <w:pPr>
        <w:pStyle w:val="Bullet2"/>
        <w:widowControl w:val="0"/>
        <w:rPr>
          <w:rFonts w:eastAsia="SimSun"/>
          <w:sz w:val="20"/>
          <w:szCs w:val="20"/>
        </w:rPr>
      </w:pPr>
      <w:r>
        <w:rPr>
          <w:sz w:val="20"/>
          <w:szCs w:val="20"/>
        </w:rPr>
        <w:t xml:space="preserve">decompilare o disassemblare il software, </w:t>
      </w:r>
      <w:r>
        <w:t>né in altro modo tentare di derivare il codice sorgente del software</w:t>
      </w:r>
      <w:r>
        <w:rPr>
          <w:sz w:val="20"/>
          <w:szCs w:val="20"/>
        </w:rPr>
        <w:t>, fatta eccezione e solo per i casi previsti da condizioni di licenza di terzi che disciplinano l’utilizzo di alcuni componenti open source che potrebbero essere inclusi nel software;</w:t>
      </w:r>
    </w:p>
    <w:p w:rsidR="00FD293A" w:rsidRPr="00C45CAE" w:rsidRDefault="00FD293A">
      <w:pPr>
        <w:pStyle w:val="Bullet2"/>
        <w:widowControl w:val="0"/>
        <w:rPr>
          <w:rFonts w:eastAsia="SimSun"/>
          <w:sz w:val="20"/>
          <w:szCs w:val="20"/>
        </w:rPr>
      </w:pPr>
      <w:r>
        <w:rPr>
          <w:sz w:val="20"/>
          <w:szCs w:val="20"/>
        </w:rPr>
        <w:t xml:space="preserve">rimuovere, ridurre al minimo, bloccare o modificare alcuna comunicazione di Microsoft o dei suoi fornitori relativamente al software; </w:t>
      </w:r>
    </w:p>
    <w:p w:rsidR="000E462E" w:rsidRPr="00C45CAE" w:rsidRDefault="000E462E">
      <w:pPr>
        <w:pStyle w:val="Bullet2"/>
        <w:widowControl w:val="0"/>
        <w:rPr>
          <w:rFonts w:eastAsia="SimSun"/>
          <w:sz w:val="20"/>
          <w:szCs w:val="20"/>
        </w:rPr>
      </w:pPr>
      <w:r>
        <w:rPr>
          <w:sz w:val="20"/>
          <w:szCs w:val="20"/>
        </w:rPr>
        <w:t>utilizzare il software in contrasto con la legge o</w:t>
      </w:r>
    </w:p>
    <w:p w:rsidR="00F15EA7" w:rsidRPr="00C45CAE" w:rsidRDefault="000E462E">
      <w:pPr>
        <w:pStyle w:val="Bullet2"/>
        <w:widowControl w:val="0"/>
        <w:rPr>
          <w:rFonts w:eastAsia="SimSun"/>
          <w:sz w:val="20"/>
          <w:szCs w:val="20"/>
        </w:rPr>
      </w:pPr>
      <w:r>
        <w:rPr>
          <w:sz w:val="20"/>
          <w:szCs w:val="20"/>
        </w:rPr>
        <w:t>condividere, pubblicare, noleggiare, concedere in locazione il software oppure fornirlo come soluzione ospitata autonoma utilizzabile da terzi né trasferire il software o il presente contratto a terzi.</w:t>
      </w:r>
    </w:p>
    <w:p w:rsidR="00F15EA7" w:rsidRPr="00C45CAE" w:rsidRDefault="00E47200">
      <w:pPr>
        <w:pStyle w:val="Heading1"/>
        <w:widowControl w:val="0"/>
        <w:rPr>
          <w:rStyle w:val="Hyperlink"/>
          <w:rFonts w:eastAsia="SimSun" w:cs="Tahoma"/>
          <w:b w:val="0"/>
          <w:bCs w:val="0"/>
          <w:color w:val="auto"/>
          <w:sz w:val="20"/>
          <w:szCs w:val="20"/>
          <w:u w:val="none"/>
        </w:rPr>
      </w:pPr>
      <w:r>
        <w:rPr>
          <w:sz w:val="20"/>
          <w:szCs w:val="20"/>
        </w:rPr>
        <w:t>RESTRIZIONI ALL'ESPORTAZIONE.</w:t>
      </w:r>
      <w:r>
        <w:rPr>
          <w:b w:val="0"/>
          <w:bCs w:val="0"/>
          <w:sz w:val="20"/>
          <w:szCs w:val="20"/>
        </w:rPr>
        <w:t xml:space="preserve"> Il licenziatario dovrà conformarsi a tutte le leggi e a tutti i regolamenti nazionali e internazionali in materia di esportazione applicabili al software, che includono limitazioni su destinazioni, utenti finali e utilizzo finale. Per ulteriori informazioni sulle limitazioni all’esportazione, il licenziatario potrà visitare la pagina </w:t>
      </w:r>
      <w:hyperlink r:id="rId11" w:history="1">
        <w:r>
          <w:rPr>
            <w:rStyle w:val="Hyperlink"/>
            <w:b w:val="0"/>
            <w:bCs w:val="0"/>
            <w:sz w:val="20"/>
            <w:szCs w:val="20"/>
          </w:rPr>
          <w:t>www.microsoft.com/exporting</w:t>
        </w:r>
      </w:hyperlink>
      <w:r>
        <w:rPr>
          <w:b w:val="0"/>
          <w:bCs w:val="0"/>
          <w:sz w:val="20"/>
          <w:szCs w:val="20"/>
        </w:rPr>
        <w:t xml:space="preserve">. </w:t>
      </w:r>
    </w:p>
    <w:p w:rsidR="00F15EA7" w:rsidRPr="00C45CAE" w:rsidRDefault="00E47200">
      <w:pPr>
        <w:pStyle w:val="Heading1"/>
        <w:widowControl w:val="0"/>
        <w:rPr>
          <w:rFonts w:eastAsia="SimSun"/>
          <w:b w:val="0"/>
          <w:bCs w:val="0"/>
          <w:sz w:val="20"/>
          <w:szCs w:val="20"/>
        </w:rPr>
      </w:pPr>
      <w:r>
        <w:rPr>
          <w:sz w:val="20"/>
          <w:szCs w:val="20"/>
        </w:rPr>
        <w:t xml:space="preserve">SERVIZI DI SUPPORTO TECNICO. </w:t>
      </w:r>
      <w:r>
        <w:rPr>
          <w:b w:val="0"/>
          <w:bCs w:val="0"/>
          <w:sz w:val="20"/>
          <w:szCs w:val="20"/>
        </w:rPr>
        <w:t>Poiché il presente software viene fornito “com’è”, non è prevista l’erogazione di servizi di supporto tecnico da parte di Microsoft.</w:t>
      </w:r>
    </w:p>
    <w:p w:rsidR="00F15EA7" w:rsidRPr="00C45CAE" w:rsidRDefault="00E47200">
      <w:pPr>
        <w:pStyle w:val="Heading1"/>
        <w:widowControl w:val="0"/>
        <w:rPr>
          <w:rFonts w:eastAsia="SimSun"/>
          <w:b w:val="0"/>
          <w:bCs w:val="0"/>
          <w:sz w:val="20"/>
          <w:szCs w:val="20"/>
        </w:rPr>
      </w:pPr>
      <w:r>
        <w:rPr>
          <w:sz w:val="20"/>
          <w:szCs w:val="20"/>
        </w:rPr>
        <w:t>INTERO ACCORDO.</w:t>
      </w:r>
      <w:r>
        <w:rPr>
          <w:b w:val="0"/>
          <w:bCs w:val="0"/>
          <w:sz w:val="20"/>
          <w:szCs w:val="20"/>
        </w:rPr>
        <w:t xml:space="preserve"> Il presente contratto e le condizioni che disciplinano l'utilizzo dei supplementi, degli aggiornamenti, dei servizi basati su Internet e dei servizi di supporto tecnico utilizzati dal licenziatario costituiscono l'intero accordo relativo al software ed ai servizi di supporto tecnico.</w:t>
      </w:r>
    </w:p>
    <w:p w:rsidR="00F15EA7" w:rsidRPr="00C45CAE" w:rsidRDefault="00E47200">
      <w:pPr>
        <w:pStyle w:val="Heading1"/>
        <w:widowControl w:val="0"/>
        <w:ind w:left="360" w:hanging="360"/>
        <w:rPr>
          <w:rFonts w:eastAsia="SimSun"/>
          <w:sz w:val="20"/>
          <w:szCs w:val="20"/>
        </w:rPr>
      </w:pPr>
      <w:r>
        <w:rPr>
          <w:sz w:val="20"/>
          <w:szCs w:val="20"/>
        </w:rPr>
        <w:t xml:space="preserve">LEGGE APPLICABILE. </w:t>
      </w:r>
      <w:r>
        <w:rPr>
          <w:b w:val="0"/>
          <w:sz w:val="20"/>
          <w:szCs w:val="20"/>
        </w:rPr>
        <w:t>Qualora il software sia stato acquistato negli Stati Uniti, il presente contratto è interpretato in base alla legge dello Stato di Washington e tale legge si applica ai reclami aventi come oggetto gli inadempimenti di tale contratto, mentre a tutti gli altri reclami si applicano le leggi dello Stato di residenza del licenziatario. Qualora il licenziatario abbia acquistato il software in qualsivoglia altro Paese, il presente contratto sarà disciplinato dalla legge di tale Stato.</w:t>
      </w:r>
    </w:p>
    <w:p w:rsidR="00E400F3" w:rsidRPr="00E400F3" w:rsidRDefault="00E400F3" w:rsidP="00E400F3">
      <w:pPr>
        <w:pStyle w:val="Heading1"/>
        <w:tabs>
          <w:tab w:val="clear" w:pos="360"/>
          <w:tab w:val="num" w:pos="540"/>
        </w:tabs>
        <w:ind w:left="360" w:hanging="360"/>
        <w:rPr>
          <w:b w:val="0"/>
          <w:sz w:val="20"/>
          <w:szCs w:val="20"/>
        </w:rPr>
      </w:pPr>
      <w:r>
        <w:rPr>
          <w:sz w:val="20"/>
          <w:szCs w:val="20"/>
        </w:rPr>
        <w:t xml:space="preserve">DIRITTI DEI CONSUMATORI, VARIAZIONI REGIONALI. </w:t>
      </w:r>
      <w:r>
        <w:rPr>
          <w:b w:val="0"/>
          <w:sz w:val="20"/>
          <w:szCs w:val="20"/>
        </w:rPr>
        <w:t>Il presente contratto descrive determinati diritti. Il licenziatario potrà avere altri diritti, tra cui i diritti dei consumatori, ai sensi delle leggi del Paese di residenza. Autonomamente da Microsoft, il licenziatario potrebbe, inoltre, vantare ulteriori diritti direttamente nei confronti della parte presso la quale ha acquistato il software. Il presente contratto non modifica ulteriori altri diritti che le leggi del Paese o dello Stato di residenza del licenziatario non consentono di modificare. Ad esempio, qualora il licenziatario abbia acquistato il software in una delle aree indicate di seguito o si applichi la legge obbligatoria del Paese, sono valide le seguenti disposizioni:</w:t>
      </w:r>
    </w:p>
    <w:p w:rsidR="00E400F3" w:rsidRPr="00E400F3" w:rsidRDefault="00E400F3" w:rsidP="00E400F3">
      <w:pPr>
        <w:pStyle w:val="Heading2"/>
        <w:numPr>
          <w:ilvl w:val="0"/>
          <w:numId w:val="15"/>
        </w:numPr>
        <w:rPr>
          <w:b w:val="0"/>
          <w:sz w:val="20"/>
          <w:szCs w:val="20"/>
        </w:rPr>
      </w:pPr>
      <w:r>
        <w:rPr>
          <w:sz w:val="20"/>
          <w:szCs w:val="20"/>
        </w:rPr>
        <w:t xml:space="preserve">Australia. </w:t>
      </w:r>
      <w:r>
        <w:rPr>
          <w:b w:val="0"/>
          <w:sz w:val="20"/>
          <w:szCs w:val="20"/>
        </w:rPr>
        <w:t>Il licenziatario è soggetto alle garanzie di legge previste dalla Australian Consumer Law e nessuna disposizione contenuta nel presente contratto influisce su tali diritti.</w:t>
      </w:r>
    </w:p>
    <w:p w:rsidR="00E400F3" w:rsidRPr="00E400F3" w:rsidRDefault="00E400F3" w:rsidP="00E400F3">
      <w:pPr>
        <w:pStyle w:val="Heading2"/>
        <w:numPr>
          <w:ilvl w:val="0"/>
          <w:numId w:val="15"/>
        </w:numPr>
        <w:rPr>
          <w:b w:val="0"/>
          <w:sz w:val="20"/>
          <w:szCs w:val="20"/>
        </w:rPr>
      </w:pPr>
      <w:r>
        <w:rPr>
          <w:sz w:val="20"/>
          <w:szCs w:val="20"/>
        </w:rPr>
        <w:t xml:space="preserve">Canada. </w:t>
      </w:r>
      <w:r>
        <w:rPr>
          <w:b w:val="0"/>
          <w:sz w:val="20"/>
          <w:szCs w:val="20"/>
        </w:rPr>
        <w:t>Qualora il software sia stato acquistato in Canada, il licenziatario potrà interrompere la ricezione degli aggiornamenti disattivando la funzionalità di aggiornamento automatico, disconnettendo il dispositivo da Internet (tuttavia, nell’eventualità e quando il licenziatario si riconnetterà a Internet, il software riprenderà a controllare se sono presenti aggiornamenti e a installarli) oppure disinstallando il software. Nell’eventuale documentazione del prodotto è possibile che vi sia inoltre specificato come il licenziatario potrà disattivare gli aggiornamenti per il dispositivo o il software in uso.</w:t>
      </w:r>
    </w:p>
    <w:p w:rsidR="00E400F3" w:rsidRPr="00E400F3" w:rsidRDefault="00E400F3" w:rsidP="00E400F3">
      <w:pPr>
        <w:pStyle w:val="Heading2"/>
        <w:numPr>
          <w:ilvl w:val="0"/>
          <w:numId w:val="15"/>
        </w:numPr>
        <w:rPr>
          <w:b w:val="0"/>
          <w:sz w:val="20"/>
          <w:szCs w:val="20"/>
        </w:rPr>
      </w:pPr>
      <w:r>
        <w:rPr>
          <w:sz w:val="20"/>
          <w:szCs w:val="20"/>
        </w:rPr>
        <w:t>Germania e Austria</w:t>
      </w:r>
      <w:r>
        <w:rPr>
          <w:b w:val="0"/>
          <w:sz w:val="20"/>
          <w:szCs w:val="20"/>
        </w:rPr>
        <w:t>.</w:t>
      </w:r>
    </w:p>
    <w:p w:rsidR="00E400F3" w:rsidRPr="00E400F3" w:rsidRDefault="00E400F3" w:rsidP="00E400F3">
      <w:pPr>
        <w:ind w:left="717"/>
        <w:rPr>
          <w:sz w:val="20"/>
          <w:szCs w:val="20"/>
        </w:rPr>
      </w:pPr>
      <w:r>
        <w:rPr>
          <w:b/>
          <w:sz w:val="20"/>
          <w:szCs w:val="20"/>
        </w:rPr>
        <w:t>(i)</w:t>
      </w:r>
      <w:r>
        <w:rPr>
          <w:sz w:val="20"/>
          <w:szCs w:val="20"/>
        </w:rPr>
        <w:tab/>
      </w:r>
      <w:r>
        <w:rPr>
          <w:b/>
          <w:sz w:val="20"/>
          <w:szCs w:val="20"/>
        </w:rPr>
        <w:t>Garanzia</w:t>
      </w:r>
      <w:r>
        <w:rPr>
          <w:sz w:val="20"/>
          <w:szCs w:val="20"/>
        </w:rPr>
        <w:t>. Il software validamente concesso in licenza funzionerà in sostanziale conformità a quanto descritto nel materiale Microsoft fornito con il software. Tuttavia, Microsoft non fornisce alcuna garanzia contrattuale in relazione al software concesso in licenza.</w:t>
      </w:r>
    </w:p>
    <w:p w:rsidR="00E400F3" w:rsidRPr="00E400F3" w:rsidRDefault="00E400F3" w:rsidP="00E400F3">
      <w:pPr>
        <w:ind w:left="717"/>
        <w:rPr>
          <w:sz w:val="20"/>
          <w:szCs w:val="20"/>
        </w:rPr>
      </w:pPr>
      <w:r>
        <w:rPr>
          <w:b/>
          <w:sz w:val="20"/>
          <w:szCs w:val="20"/>
        </w:rPr>
        <w:t>(ii)</w:t>
      </w:r>
      <w:r>
        <w:rPr>
          <w:sz w:val="20"/>
          <w:szCs w:val="20"/>
        </w:rPr>
        <w:tab/>
      </w:r>
      <w:r>
        <w:rPr>
          <w:b/>
          <w:sz w:val="20"/>
          <w:szCs w:val="20"/>
        </w:rPr>
        <w:t>Limitazione di responsabilità</w:t>
      </w:r>
      <w:r>
        <w:rPr>
          <w:sz w:val="20"/>
          <w:szCs w:val="20"/>
        </w:rPr>
        <w:t>. In caso di comportamento intenzionale, colpa grave, reclami basati sulla Legge in materia di Responsabilità Prodotto, così come in caso di morte o lesioni personali, Microsoft è responsabile in conformità alla legge imperativa.</w:t>
      </w:r>
    </w:p>
    <w:p w:rsidR="00E400F3" w:rsidRPr="00E400F3" w:rsidRDefault="00E400F3" w:rsidP="00E400F3">
      <w:pPr>
        <w:pStyle w:val="Heading1"/>
        <w:numPr>
          <w:ilvl w:val="0"/>
          <w:numId w:val="0"/>
        </w:numPr>
        <w:ind w:left="717"/>
        <w:rPr>
          <w:b w:val="0"/>
          <w:sz w:val="20"/>
          <w:szCs w:val="20"/>
        </w:rPr>
      </w:pPr>
      <w:r>
        <w:rPr>
          <w:b w:val="0"/>
          <w:sz w:val="20"/>
          <w:szCs w:val="20"/>
        </w:rPr>
        <w:lastRenderedPageBreak/>
        <w:t>In riferimento a quanto detto nella clausola precedente (ii), Microsoft sarà responsabile solo di colpa lieve qualora sia inadempiente a tali obbligazioni contrattuali sostanziali, il cui adempimento facilita la debita esecuzione del presente contratto, il cui inadempimento metterebbe in pericolo lo scopo del presente contratto e alla cui conformità una parte potrà costantemente fare affidamento (le cosiddette “obbligazioni fondamentali”). In altri casi di colpa lieve Microsoft non sarà responsabile di tale colpa.</w:t>
      </w:r>
    </w:p>
    <w:p w:rsidR="00F15EA7" w:rsidRPr="00C45CAE" w:rsidRDefault="00E47200">
      <w:pPr>
        <w:pStyle w:val="Heading1"/>
        <w:rPr>
          <w:rFonts w:eastAsia="SimSun"/>
          <w:sz w:val="20"/>
          <w:szCs w:val="20"/>
        </w:rPr>
      </w:pPr>
      <w:r>
        <w:rPr>
          <w:sz w:val="20"/>
          <w:szCs w:val="20"/>
        </w:rPr>
        <w:t>ESCLUSIONE DI GARANZIE. IL SOFTWARE È CONCESSO IN LICENZA "COSÌ COM'È". IL LICENZIATARIO SI ASSUME OGNI RISCHIO DERIVANTE DALL'UTILIZZO DEL SOFTWARE. MICROSOFT NON RICONOSCE CONDIZIONI O GARANZIE ESPRESSE. NELLA MISURA MASSIMA CONSENTITA DALLA LEGGE LOCALE, MICROSOFT ESCLUDE EVENTUALI GARANZIE IMPLICITE DI COMMERCIABILITÀ (QUALITÀ NON INFERIORE ALLA MEDIA), ADEGUATEZZA PER UNO SCOPO SPECIFICO E NON VIOLAZIONE DI DIRITTI DI TERZI.</w:t>
      </w:r>
    </w:p>
    <w:p w:rsidR="00F15EA7" w:rsidRPr="00C45CAE" w:rsidRDefault="00E47200">
      <w:pPr>
        <w:pStyle w:val="Heading1"/>
        <w:rPr>
          <w:sz w:val="20"/>
          <w:szCs w:val="20"/>
        </w:rPr>
      </w:pPr>
      <w:r>
        <w:rPr>
          <w:sz w:val="20"/>
          <w:szCs w:val="20"/>
        </w:rPr>
        <w:t>LIMITAZIONE DI RESPONSABILITÀ ED ESCLUSIONE DI DANNI. IL LICENZIATARIO PUÒ RICHIEDERE A MICROSOFT E AI SUOI FORNITORI IL SOLO RISARCIMENTO PER I DANNI DIRETTI NEL LIMITE DI CINQUE DOLLARI (USD 5). IL LICENZIATARIO NON POTRÀ RICHIEDERE IL RISARCIMENTO PER EVENTUALI ALTRI DANNI, INCLUSI I DANNI CONSEQUENZIALI, SPECIALI, INDIRETTI O ACCIDENTALI O RELATIVI ALLA PERDITA DI PROFITTI.</w:t>
      </w:r>
    </w:p>
    <w:p w:rsidR="00F15EA7" w:rsidRPr="00C45CAE" w:rsidRDefault="00E47200" w:rsidP="0071730A">
      <w:pPr>
        <w:pStyle w:val="Body1"/>
        <w:widowControl w:val="0"/>
        <w:rPr>
          <w:rFonts w:eastAsia="SimSun"/>
          <w:sz w:val="20"/>
          <w:szCs w:val="20"/>
        </w:rPr>
      </w:pPr>
      <w:r>
        <w:rPr>
          <w:sz w:val="20"/>
          <w:szCs w:val="20"/>
        </w:rPr>
        <w:t>Questa limitazione si applica (a) a qualsiasi questione relativa al software, ai servizi, al contenuto (incluso il codice) sui siti Internet o nelle applicazioni di terzi e (b) ai reclami relativi a inadempimento contrattuale, inadempimento delle garanzie o delle condizioni, responsabilità oggettiva, negligenza o altro illecito civile nella misura massima consentita dalla legge applicabile.</w:t>
      </w:r>
    </w:p>
    <w:p w:rsidR="00F15EA7" w:rsidRDefault="00E47200">
      <w:pPr>
        <w:widowControl w:val="0"/>
        <w:ind w:left="360"/>
        <w:rPr>
          <w:rFonts w:eastAsia="SimSun"/>
          <w:sz w:val="20"/>
          <w:szCs w:val="20"/>
        </w:rPr>
      </w:pPr>
      <w:r>
        <w:rPr>
          <w:sz w:val="20"/>
          <w:szCs w:val="20"/>
        </w:rPr>
        <w:t>Tale limitazione si applica anche nel caso in cui Microsoft era informata o avrebbe dovuto essere informata della possibilità del verificarsi di tali danni. La limitazione o l’esclusione indicata sopra potrebbe non essere applicabile nei confronti del licenziatario nel caso in cui le leggi del paese di residenza del licenziatario non consentano le esclusioni o limitazioni di responsabilità per danni incidentali, consequenziali o altri danni.</w:t>
      </w:r>
    </w:p>
    <w:p w:rsidR="00DB1D53" w:rsidRDefault="00DB1D53">
      <w:pPr>
        <w:widowControl w:val="0"/>
        <w:ind w:left="360"/>
        <w:rPr>
          <w:rFonts w:eastAsia="SimSun"/>
          <w:sz w:val="20"/>
          <w:szCs w:val="20"/>
        </w:rPr>
      </w:pPr>
    </w:p>
    <w:p w:rsidR="00DB1D53" w:rsidRPr="00C45CAE" w:rsidRDefault="00DB1D53" w:rsidP="00DB1D53">
      <w:pPr>
        <w:widowControl w:val="0"/>
        <w:ind w:left="360"/>
        <w:rPr>
          <w:rFonts w:eastAsia="SimSun"/>
          <w:sz w:val="20"/>
          <w:szCs w:val="20"/>
        </w:rPr>
      </w:pPr>
      <w:r>
        <w:rPr>
          <w:sz w:val="20"/>
          <w:szCs w:val="20"/>
        </w:rPr>
        <w:t>EULA ID: VS 2017_TOOLS_ADDONs_C++_RTW.3_</w:t>
      </w:r>
      <w:r w:rsidR="00357122">
        <w:rPr>
          <w:sz w:val="20"/>
          <w:szCs w:val="20"/>
        </w:rPr>
        <w:t>ITA</w:t>
      </w:r>
      <w:bookmarkStart w:id="0" w:name="_GoBack"/>
      <w:bookmarkEnd w:id="0"/>
    </w:p>
    <w:p w:rsidR="00DB1D53" w:rsidRPr="00C45CAE" w:rsidRDefault="00DB1D53">
      <w:pPr>
        <w:widowControl w:val="0"/>
        <w:ind w:left="360"/>
        <w:rPr>
          <w:rFonts w:eastAsia="SimSun"/>
          <w:sz w:val="20"/>
          <w:szCs w:val="20"/>
        </w:rPr>
      </w:pPr>
    </w:p>
    <w:sectPr w:rsidR="00DB1D53" w:rsidRPr="00C45CAE">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B40" w:rsidRDefault="00116B40">
      <w:pPr>
        <w:rPr>
          <w:rFonts w:cs="Times New Roman"/>
        </w:rPr>
      </w:pPr>
      <w:r>
        <w:rPr>
          <w:rFonts w:cs="Times New Roman"/>
        </w:rPr>
        <w:separator/>
      </w:r>
    </w:p>
  </w:endnote>
  <w:endnote w:type="continuationSeparator" w:id="0">
    <w:p w:rsidR="00116B40" w:rsidRDefault="00116B4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Arial"/>
    <w:panose1 w:val="020B0603020202020204"/>
    <w:charset w:val="00"/>
    <w:family w:val="swiss"/>
    <w:pitch w:val="variable"/>
    <w:sig w:usb0="00000687" w:usb1="00000000" w:usb2="00000000" w:usb3="00000000" w:csb0="0000009F" w:csb1="00000000"/>
  </w:font>
  <w:font w:name="Tahoma">
    <w:altName w:val="?l?r ???"/>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B40" w:rsidRDefault="00116B40">
      <w:pPr>
        <w:rPr>
          <w:rFonts w:cs="Times New Roman"/>
        </w:rPr>
      </w:pPr>
      <w:r>
        <w:rPr>
          <w:rFonts w:cs="Times New Roman"/>
        </w:rPr>
        <w:separator/>
      </w:r>
    </w:p>
  </w:footnote>
  <w:footnote w:type="continuationSeparator" w:id="0">
    <w:p w:rsidR="00116B40" w:rsidRDefault="00116B4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B2B7A"/>
    <w:multiLevelType w:val="hybridMultilevel"/>
    <w:tmpl w:val="0A84B212"/>
    <w:lvl w:ilvl="0" w:tplc="29422296">
      <w:start w:val="1"/>
      <w:numFmt w:val="bullet"/>
      <w:pStyle w:val="Bullet9"/>
      <w:lvlText w:val=""/>
      <w:lvlJc w:val="left"/>
      <w:pPr>
        <w:tabs>
          <w:tab w:val="num" w:pos="3223"/>
        </w:tabs>
        <w:ind w:left="3221" w:hanging="35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82190B"/>
    <w:multiLevelType w:val="multilevel"/>
    <w:tmpl w:val="9516D96C"/>
    <w:lvl w:ilvl="0">
      <w:start w:val="1"/>
      <w:numFmt w:val="upperLetter"/>
      <w:pStyle w:val="Heading1Warranty"/>
      <w:lvlText w:val="%1."/>
      <w:lvlJc w:val="left"/>
      <w:pPr>
        <w:tabs>
          <w:tab w:val="num" w:pos="360"/>
        </w:tabs>
        <w:ind w:left="360" w:hanging="360"/>
      </w:pPr>
      <w:rPr>
        <w:rFonts w:cs="Times New Roman" w:hint="default"/>
        <w:b/>
        <w:bCs/>
        <w:i w:val="0"/>
        <w:iCs w:val="0"/>
      </w:rPr>
    </w:lvl>
    <w:lvl w:ilvl="1">
      <w:start w:val="1"/>
      <w:numFmt w:val="decimal"/>
      <w:pStyle w:val="Heading2Warranty"/>
      <w:lvlText w:val="%2."/>
      <w:lvlJc w:val="left"/>
      <w:pPr>
        <w:tabs>
          <w:tab w:val="num" w:pos="720"/>
        </w:tabs>
        <w:ind w:left="720" w:hanging="360"/>
      </w:pPr>
      <w:rPr>
        <w:rFonts w:cs="Times New Roman" w:hint="default"/>
        <w:b/>
        <w:bCs/>
        <w:i w:val="0"/>
        <w:iCs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17C52789"/>
    <w:multiLevelType w:val="multilevel"/>
    <w:tmpl w:val="72F23940"/>
    <w:lvl w:ilvl="0">
      <w:start w:val="1"/>
      <w:numFmt w:val="decimal"/>
      <w:lvlText w:val="%1."/>
      <w:lvlJc w:val="left"/>
      <w:pPr>
        <w:tabs>
          <w:tab w:val="num" w:pos="360"/>
        </w:tabs>
        <w:ind w:left="357" w:hanging="357"/>
      </w:pPr>
      <w:rPr>
        <w:rFonts w:ascii="Trebuchet MS" w:hAnsi="Trebuchet MS" w:cs="Trebuchet MS" w:hint="default"/>
        <w:b/>
        <w:bCs/>
        <w:i w:val="0"/>
        <w:iCs w:val="0"/>
        <w:sz w:val="20"/>
        <w:szCs w:val="20"/>
      </w:rPr>
    </w:lvl>
    <w:lvl w:ilvl="1">
      <w:start w:val="1"/>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pStyle w:val="Heading3Bold"/>
      <w:lvlText w:val="%3."/>
      <w:lvlJc w:val="left"/>
      <w:pPr>
        <w:tabs>
          <w:tab w:val="num" w:pos="1440"/>
        </w:tabs>
        <w:ind w:left="1077" w:hanging="357"/>
      </w:pPr>
      <w:rPr>
        <w:rFonts w:ascii="Tahoma" w:hAnsi="Tahoma" w:cs="Tahoma"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3" w15:restartNumberingAfterBreak="0">
    <w:nsid w:val="1C773156"/>
    <w:multiLevelType w:val="hybridMultilevel"/>
    <w:tmpl w:val="2F089D74"/>
    <w:lvl w:ilvl="0" w:tplc="ED101782">
      <w:start w:val="1"/>
      <w:numFmt w:val="bullet"/>
      <w:pStyle w:val="Bullet2"/>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D51C57"/>
    <w:multiLevelType w:val="multilevel"/>
    <w:tmpl w:val="FCCA56DA"/>
    <w:lvl w:ilvl="0">
      <w:start w:val="1"/>
      <w:numFmt w:val="decimal"/>
      <w:pStyle w:val="Heading1"/>
      <w:lvlText w:val="%1."/>
      <w:lvlJc w:val="left"/>
      <w:pPr>
        <w:tabs>
          <w:tab w:val="num" w:pos="360"/>
        </w:tabs>
        <w:ind w:left="357" w:hanging="357"/>
      </w:pPr>
      <w:rPr>
        <w:rFonts w:ascii="Tahoma" w:hAnsi="Tahoma" w:cs="Tahoma" w:hint="default"/>
        <w:b/>
        <w:bCs/>
        <w:i w:val="0"/>
        <w:iCs w:val="0"/>
        <w:sz w:val="20"/>
        <w:szCs w:val="20"/>
      </w:rPr>
    </w:lvl>
    <w:lvl w:ilvl="1">
      <w:start w:val="1"/>
      <w:numFmt w:val="lowerLetter"/>
      <w:pStyle w:val="Heading2"/>
      <w:lvlText w:val="%2."/>
      <w:lvlJc w:val="left"/>
      <w:pPr>
        <w:tabs>
          <w:tab w:val="num" w:pos="720"/>
        </w:tabs>
        <w:ind w:left="720" w:hanging="363"/>
      </w:pPr>
      <w:rPr>
        <w:rFonts w:ascii="Tahoma" w:hAnsi="Tahoma" w:cs="Tahoma" w:hint="default"/>
        <w:b/>
        <w:bCs/>
        <w:i w:val="0"/>
        <w:iCs w:val="0"/>
        <w:sz w:val="20"/>
        <w:szCs w:val="20"/>
      </w:rPr>
    </w:lvl>
    <w:lvl w:ilvl="2">
      <w:start w:val="1"/>
      <w:numFmt w:val="lowerRoman"/>
      <w:pStyle w:val="Heading3"/>
      <w:lvlText w:val="%3."/>
      <w:lvlJc w:val="left"/>
      <w:pPr>
        <w:tabs>
          <w:tab w:val="num" w:pos="1440"/>
        </w:tabs>
        <w:ind w:left="1077" w:hanging="357"/>
      </w:pPr>
      <w:rPr>
        <w:rFonts w:ascii="Tahoma" w:hAnsi="Tahoma" w:cs="Tahoma" w:hint="default"/>
        <w:b/>
        <w:bCs/>
        <w:i w:val="0"/>
        <w:iCs w:val="0"/>
        <w:sz w:val="20"/>
        <w:szCs w:val="20"/>
      </w:rPr>
    </w:lvl>
    <w:lvl w:ilvl="3">
      <w:start w:val="1"/>
      <w:numFmt w:val="upperLetter"/>
      <w:pStyle w:val="Heading4"/>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pStyle w:val="Heading5"/>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pStyle w:val="Heading6"/>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pStyle w:val="Heading7"/>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pStyle w:val="Heading8"/>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pStyle w:val="Heading9"/>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5" w15:restartNumberingAfterBreak="0">
    <w:nsid w:val="30561481"/>
    <w:multiLevelType w:val="hybridMultilevel"/>
    <w:tmpl w:val="EE525D8A"/>
    <w:lvl w:ilvl="0" w:tplc="FFFFFFFF">
      <w:start w:val="1"/>
      <w:numFmt w:val="bullet"/>
      <w:pStyle w:val="Bullet8"/>
      <w:lvlText w:val=""/>
      <w:lvlJc w:val="left"/>
      <w:pPr>
        <w:tabs>
          <w:tab w:val="num" w:pos="2866"/>
        </w:tabs>
        <w:ind w:left="2863" w:hanging="35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AF20BF"/>
    <w:multiLevelType w:val="hybridMultilevel"/>
    <w:tmpl w:val="93E2E814"/>
    <w:lvl w:ilvl="0" w:tplc="FFFFFFFF">
      <w:start w:val="1"/>
      <w:numFmt w:val="bullet"/>
      <w:pStyle w:val="Bullet7"/>
      <w:lvlText w:val=""/>
      <w:lvlJc w:val="left"/>
      <w:pPr>
        <w:tabs>
          <w:tab w:val="num" w:pos="2509"/>
        </w:tabs>
        <w:ind w:left="2506" w:hanging="35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F4435A"/>
    <w:multiLevelType w:val="hybridMultilevel"/>
    <w:tmpl w:val="1212BE60"/>
    <w:lvl w:ilvl="0" w:tplc="24809A04">
      <w:start w:val="1"/>
      <w:numFmt w:val="bullet"/>
      <w:pStyle w:val="Bullet4"/>
      <w:lvlText w:val=""/>
      <w:lvlJc w:val="left"/>
      <w:pPr>
        <w:tabs>
          <w:tab w:val="num" w:pos="1437"/>
        </w:tabs>
        <w:ind w:left="1435" w:hanging="358"/>
      </w:pPr>
      <w:rPr>
        <w:rFonts w:ascii="Symbol" w:hAnsi="Symbol" w:hint="default"/>
        <w:color w:val="000000" w:themeColor="text1"/>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706D6A"/>
    <w:multiLevelType w:val="hybridMultilevel"/>
    <w:tmpl w:val="D3AA996A"/>
    <w:lvl w:ilvl="0" w:tplc="7932E03A">
      <w:start w:val="1"/>
      <w:numFmt w:val="bullet"/>
      <w:pStyle w:val="Bullet3"/>
      <w:lvlText w:val=""/>
      <w:lvlJc w:val="left"/>
      <w:pPr>
        <w:tabs>
          <w:tab w:val="num" w:pos="1080"/>
        </w:tabs>
        <w:ind w:left="107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FF3A17"/>
    <w:multiLevelType w:val="hybridMultilevel"/>
    <w:tmpl w:val="6680C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FE66A8"/>
    <w:multiLevelType w:val="hybridMultilevel"/>
    <w:tmpl w:val="F6C449C2"/>
    <w:lvl w:ilvl="0" w:tplc="DC7889D2">
      <w:start w:val="1"/>
      <w:numFmt w:val="upperLetter"/>
      <w:pStyle w:val="HeadingFrenchWarranty"/>
      <w:lvlText w:val="%1."/>
      <w:lvlJc w:val="left"/>
      <w:pPr>
        <w:tabs>
          <w:tab w:val="num" w:pos="360"/>
        </w:tabs>
        <w:ind w:left="360" w:hanging="360"/>
      </w:pPr>
      <w:rPr>
        <w:rFonts w:cs="Times New Roman" w:hint="default"/>
        <w:b/>
        <w:bCs/>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E2C692F"/>
    <w:multiLevelType w:val="hybridMultilevel"/>
    <w:tmpl w:val="C6AAF6BE"/>
    <w:lvl w:ilvl="0" w:tplc="B9EE6BD8">
      <w:start w:val="1"/>
      <w:numFmt w:val="bullet"/>
      <w:pStyle w:val="Bullet5"/>
      <w:lvlText w:val=""/>
      <w:lvlJc w:val="left"/>
      <w:pPr>
        <w:tabs>
          <w:tab w:val="num" w:pos="1795"/>
        </w:tabs>
        <w:ind w:left="1792"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EB5D14"/>
    <w:multiLevelType w:val="hybridMultilevel"/>
    <w:tmpl w:val="948EA042"/>
    <w:lvl w:ilvl="0" w:tplc="494A1B90">
      <w:start w:val="1"/>
      <w:numFmt w:val="bullet"/>
      <w:pStyle w:val="Bullet6"/>
      <w:lvlText w:val=""/>
      <w:lvlJc w:val="left"/>
      <w:pPr>
        <w:tabs>
          <w:tab w:val="num" w:pos="2152"/>
        </w:tabs>
        <w:ind w:left="2149"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770037"/>
    <w:multiLevelType w:val="hybridMultilevel"/>
    <w:tmpl w:val="46B4BC74"/>
    <w:lvl w:ilvl="0" w:tplc="619624E4">
      <w:start w:val="1"/>
      <w:numFmt w:val="bullet"/>
      <w:pStyle w:val="Bullet1"/>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870403"/>
    <w:multiLevelType w:val="multilevel"/>
    <w:tmpl w:val="96104E2C"/>
    <w:lvl w:ilvl="0">
      <w:start w:val="1"/>
      <w:numFmt w:val="lowerLetter"/>
      <w:lvlText w:val="%1."/>
      <w:lvlJc w:val="left"/>
      <w:pPr>
        <w:ind w:left="717" w:hanging="360"/>
      </w:pPr>
      <w:rPr>
        <w:rFonts w:cs="Times New Roman" w:hint="default"/>
        <w:b/>
      </w:rPr>
    </w:lvl>
    <w:lvl w:ilvl="1">
      <w:start w:val="1"/>
      <w:numFmt w:val="lowerLetter"/>
      <w:lvlText w:val="%2)"/>
      <w:lvlJc w:val="left"/>
      <w:pPr>
        <w:ind w:left="1077" w:hanging="360"/>
      </w:pPr>
      <w:rPr>
        <w:rFonts w:cs="Times New Roman"/>
      </w:rPr>
    </w:lvl>
    <w:lvl w:ilvl="2">
      <w:start w:val="1"/>
      <w:numFmt w:val="lowerRoman"/>
      <w:lvlText w:val="%3)"/>
      <w:lvlJc w:val="left"/>
      <w:pPr>
        <w:ind w:left="1437" w:hanging="360"/>
      </w:pPr>
      <w:rPr>
        <w:rFonts w:cs="Times New Roman"/>
      </w:rPr>
    </w:lvl>
    <w:lvl w:ilvl="3">
      <w:start w:val="1"/>
      <w:numFmt w:val="decimal"/>
      <w:lvlText w:val="(%4)"/>
      <w:lvlJc w:val="left"/>
      <w:pPr>
        <w:ind w:left="1797" w:hanging="360"/>
      </w:pPr>
      <w:rPr>
        <w:rFonts w:cs="Times New Roman"/>
      </w:rPr>
    </w:lvl>
    <w:lvl w:ilvl="4">
      <w:start w:val="1"/>
      <w:numFmt w:val="lowerLetter"/>
      <w:lvlText w:val="(%5)"/>
      <w:lvlJc w:val="left"/>
      <w:pPr>
        <w:ind w:left="2157" w:hanging="360"/>
      </w:pPr>
      <w:rPr>
        <w:rFonts w:cs="Times New Roman"/>
      </w:rPr>
    </w:lvl>
    <w:lvl w:ilvl="5">
      <w:start w:val="1"/>
      <w:numFmt w:val="lowerRoman"/>
      <w:lvlText w:val="(%6)"/>
      <w:lvlJc w:val="left"/>
      <w:pPr>
        <w:ind w:left="2517" w:hanging="360"/>
      </w:pPr>
      <w:rPr>
        <w:rFonts w:cs="Times New Roman"/>
      </w:rPr>
    </w:lvl>
    <w:lvl w:ilvl="6">
      <w:start w:val="1"/>
      <w:numFmt w:val="decimal"/>
      <w:lvlText w:val="%7."/>
      <w:lvlJc w:val="left"/>
      <w:pPr>
        <w:ind w:left="2877" w:hanging="360"/>
      </w:pPr>
      <w:rPr>
        <w:rFonts w:cs="Times New Roman"/>
      </w:rPr>
    </w:lvl>
    <w:lvl w:ilvl="7">
      <w:start w:val="1"/>
      <w:numFmt w:val="lowerLetter"/>
      <w:lvlText w:val="%8."/>
      <w:lvlJc w:val="left"/>
      <w:pPr>
        <w:ind w:left="3237" w:hanging="360"/>
      </w:pPr>
      <w:rPr>
        <w:rFonts w:cs="Times New Roman"/>
      </w:rPr>
    </w:lvl>
    <w:lvl w:ilvl="8">
      <w:start w:val="1"/>
      <w:numFmt w:val="lowerRoman"/>
      <w:lvlText w:val="%9."/>
      <w:lvlJc w:val="left"/>
      <w:pPr>
        <w:ind w:left="3597" w:hanging="360"/>
      </w:pPr>
      <w:rPr>
        <w:rFonts w:cs="Times New Roman"/>
      </w:rPr>
    </w:lvl>
  </w:abstractNum>
  <w:num w:numId="1">
    <w:abstractNumId w:val="13"/>
  </w:num>
  <w:num w:numId="2">
    <w:abstractNumId w:val="3"/>
  </w:num>
  <w:num w:numId="3">
    <w:abstractNumId w:val="8"/>
  </w:num>
  <w:num w:numId="4">
    <w:abstractNumId w:val="7"/>
  </w:num>
  <w:num w:numId="5">
    <w:abstractNumId w:val="11"/>
  </w:num>
  <w:num w:numId="6">
    <w:abstractNumId w:val="12"/>
  </w:num>
  <w:num w:numId="7">
    <w:abstractNumId w:val="6"/>
  </w:num>
  <w:num w:numId="8">
    <w:abstractNumId w:val="5"/>
  </w:num>
  <w:num w:numId="9">
    <w:abstractNumId w:val="0"/>
  </w:num>
  <w:num w:numId="10">
    <w:abstractNumId w:val="2"/>
  </w:num>
  <w:num w:numId="11">
    <w:abstractNumId w:val="1"/>
  </w:num>
  <w:num w:numId="12">
    <w:abstractNumId w:val="4"/>
  </w:num>
  <w:num w:numId="13">
    <w:abstractNumId w:val="10"/>
  </w:num>
  <w:num w:numId="14">
    <w:abstractNumId w:val="9"/>
  </w:num>
  <w:num w:numId="15">
    <w:abstractNumId w:val="14"/>
  </w:num>
  <w:num w:numId="1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15EA7"/>
    <w:rsid w:val="0000607C"/>
    <w:rsid w:val="000206AC"/>
    <w:rsid w:val="00087D93"/>
    <w:rsid w:val="00093887"/>
    <w:rsid w:val="000E462E"/>
    <w:rsid w:val="0011022C"/>
    <w:rsid w:val="00116B40"/>
    <w:rsid w:val="00132C1B"/>
    <w:rsid w:val="001355CE"/>
    <w:rsid w:val="0015511C"/>
    <w:rsid w:val="001B2660"/>
    <w:rsid w:val="002165F0"/>
    <w:rsid w:val="0021726D"/>
    <w:rsid w:val="0026305F"/>
    <w:rsid w:val="00282039"/>
    <w:rsid w:val="002A5E18"/>
    <w:rsid w:val="002B5432"/>
    <w:rsid w:val="002B61BD"/>
    <w:rsid w:val="002C3CD3"/>
    <w:rsid w:val="002D0C0A"/>
    <w:rsid w:val="00300B05"/>
    <w:rsid w:val="00357122"/>
    <w:rsid w:val="003E305D"/>
    <w:rsid w:val="004730C0"/>
    <w:rsid w:val="0048051A"/>
    <w:rsid w:val="00487F19"/>
    <w:rsid w:val="004A71FC"/>
    <w:rsid w:val="004B40A2"/>
    <w:rsid w:val="004C2CF0"/>
    <w:rsid w:val="004F0BDD"/>
    <w:rsid w:val="004F2189"/>
    <w:rsid w:val="004F6156"/>
    <w:rsid w:val="00535024"/>
    <w:rsid w:val="0054177A"/>
    <w:rsid w:val="0057092F"/>
    <w:rsid w:val="00585893"/>
    <w:rsid w:val="00585F9C"/>
    <w:rsid w:val="005E5224"/>
    <w:rsid w:val="005F767D"/>
    <w:rsid w:val="005F7F9A"/>
    <w:rsid w:val="00675AF5"/>
    <w:rsid w:val="00681F47"/>
    <w:rsid w:val="006A41B9"/>
    <w:rsid w:val="0071730A"/>
    <w:rsid w:val="00767154"/>
    <w:rsid w:val="007869AA"/>
    <w:rsid w:val="007A1DA7"/>
    <w:rsid w:val="00815470"/>
    <w:rsid w:val="00862D38"/>
    <w:rsid w:val="00883EE6"/>
    <w:rsid w:val="0095185A"/>
    <w:rsid w:val="0097287C"/>
    <w:rsid w:val="009B2EFB"/>
    <w:rsid w:val="009B6298"/>
    <w:rsid w:val="00A060BA"/>
    <w:rsid w:val="00A32BB6"/>
    <w:rsid w:val="00A333A7"/>
    <w:rsid w:val="00A44DF6"/>
    <w:rsid w:val="00A76133"/>
    <w:rsid w:val="00AA776B"/>
    <w:rsid w:val="00AC393B"/>
    <w:rsid w:val="00B23DFB"/>
    <w:rsid w:val="00B406AF"/>
    <w:rsid w:val="00BA3404"/>
    <w:rsid w:val="00BE609E"/>
    <w:rsid w:val="00C3080D"/>
    <w:rsid w:val="00C45CAE"/>
    <w:rsid w:val="00C46E61"/>
    <w:rsid w:val="00C618CC"/>
    <w:rsid w:val="00C75044"/>
    <w:rsid w:val="00C831EA"/>
    <w:rsid w:val="00C86DC7"/>
    <w:rsid w:val="00C97391"/>
    <w:rsid w:val="00D1164B"/>
    <w:rsid w:val="00D44C9C"/>
    <w:rsid w:val="00D60880"/>
    <w:rsid w:val="00D83150"/>
    <w:rsid w:val="00DB1D53"/>
    <w:rsid w:val="00DC02A8"/>
    <w:rsid w:val="00E26362"/>
    <w:rsid w:val="00E400F3"/>
    <w:rsid w:val="00E47200"/>
    <w:rsid w:val="00EF6707"/>
    <w:rsid w:val="00F15EA7"/>
    <w:rsid w:val="00F46209"/>
    <w:rsid w:val="00F61089"/>
    <w:rsid w:val="00F67171"/>
    <w:rsid w:val="00F97F55"/>
    <w:rsid w:val="00FA2358"/>
    <w:rsid w:val="00FA795B"/>
    <w:rsid w:val="00FC00A3"/>
    <w:rsid w:val="00FD29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28ADD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pPr>
      <w:spacing w:before="120" w:after="120" w:line="240" w:lineRule="auto"/>
    </w:pPr>
    <w:rPr>
      <w:rFonts w:ascii="Tahoma" w:hAnsi="Tahoma" w:cs="Tahoma"/>
      <w:sz w:val="19"/>
      <w:szCs w:val="19"/>
    </w:rPr>
  </w:style>
  <w:style w:type="paragraph" w:styleId="Heading1">
    <w:name w:val="heading 1"/>
    <w:basedOn w:val="Normal"/>
    <w:link w:val="Heading1Char"/>
    <w:uiPriority w:val="99"/>
    <w:qFormat/>
    <w:pPr>
      <w:numPr>
        <w:numId w:val="12"/>
      </w:numPr>
      <w:outlineLvl w:val="0"/>
    </w:pPr>
    <w:rPr>
      <w:b/>
      <w:bCs/>
    </w:rPr>
  </w:style>
  <w:style w:type="paragraph" w:styleId="Heading2">
    <w:name w:val="heading 2"/>
    <w:basedOn w:val="Normal"/>
    <w:link w:val="Heading2Char"/>
    <w:uiPriority w:val="99"/>
    <w:qFormat/>
    <w:pPr>
      <w:numPr>
        <w:ilvl w:val="1"/>
        <w:numId w:val="12"/>
      </w:numPr>
      <w:outlineLvl w:val="1"/>
    </w:pPr>
    <w:rPr>
      <w:b/>
      <w:bCs/>
    </w:rPr>
  </w:style>
  <w:style w:type="paragraph" w:styleId="Heading3">
    <w:name w:val="heading 3"/>
    <w:basedOn w:val="Normal"/>
    <w:link w:val="Heading3Char"/>
    <w:uiPriority w:val="99"/>
    <w:qFormat/>
    <w:pPr>
      <w:numPr>
        <w:ilvl w:val="2"/>
        <w:numId w:val="12"/>
      </w:numPr>
      <w:tabs>
        <w:tab w:val="left" w:pos="1077"/>
      </w:tabs>
      <w:outlineLvl w:val="2"/>
    </w:pPr>
  </w:style>
  <w:style w:type="paragraph" w:styleId="Heading4">
    <w:name w:val="heading 4"/>
    <w:basedOn w:val="Normal"/>
    <w:link w:val="Heading4Char"/>
    <w:uiPriority w:val="99"/>
    <w:qFormat/>
    <w:pPr>
      <w:numPr>
        <w:ilvl w:val="3"/>
        <w:numId w:val="12"/>
      </w:numPr>
      <w:outlineLvl w:val="3"/>
    </w:pPr>
  </w:style>
  <w:style w:type="paragraph" w:styleId="Heading5">
    <w:name w:val="heading 5"/>
    <w:basedOn w:val="Normal"/>
    <w:link w:val="Heading5Char"/>
    <w:uiPriority w:val="99"/>
    <w:qFormat/>
    <w:pPr>
      <w:numPr>
        <w:ilvl w:val="4"/>
        <w:numId w:val="12"/>
      </w:numPr>
      <w:tabs>
        <w:tab w:val="left" w:pos="1792"/>
      </w:tabs>
      <w:outlineLvl w:val="4"/>
    </w:pPr>
  </w:style>
  <w:style w:type="paragraph" w:styleId="Heading6">
    <w:name w:val="heading 6"/>
    <w:basedOn w:val="Normal"/>
    <w:link w:val="Heading6Char"/>
    <w:uiPriority w:val="99"/>
    <w:qFormat/>
    <w:pPr>
      <w:numPr>
        <w:ilvl w:val="5"/>
        <w:numId w:val="12"/>
      </w:numPr>
      <w:outlineLvl w:val="5"/>
    </w:pPr>
  </w:style>
  <w:style w:type="paragraph" w:styleId="Heading7">
    <w:name w:val="heading 7"/>
    <w:basedOn w:val="Normal"/>
    <w:link w:val="Heading7Char"/>
    <w:uiPriority w:val="99"/>
    <w:qFormat/>
    <w:pPr>
      <w:numPr>
        <w:ilvl w:val="6"/>
        <w:numId w:val="12"/>
      </w:numPr>
      <w:outlineLvl w:val="6"/>
    </w:pPr>
  </w:style>
  <w:style w:type="paragraph" w:styleId="Heading8">
    <w:name w:val="heading 8"/>
    <w:basedOn w:val="Normal"/>
    <w:link w:val="Heading8Char"/>
    <w:uiPriority w:val="99"/>
    <w:qFormat/>
    <w:pPr>
      <w:numPr>
        <w:ilvl w:val="7"/>
        <w:numId w:val="12"/>
      </w:numPr>
      <w:outlineLvl w:val="7"/>
    </w:pPr>
  </w:style>
  <w:style w:type="paragraph" w:styleId="Heading9">
    <w:name w:val="heading 9"/>
    <w:basedOn w:val="Normal"/>
    <w:link w:val="Heading9Char"/>
    <w:uiPriority w:val="99"/>
    <w:qFormat/>
    <w:pPr>
      <w:numPr>
        <w:ilvl w:val="8"/>
        <w:numId w:val="1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ahoma" w:hAnsi="Tahoma" w:cs="Tahoma"/>
      <w:b/>
      <w:bCs/>
      <w:sz w:val="19"/>
      <w:szCs w:val="19"/>
    </w:rPr>
  </w:style>
  <w:style w:type="character" w:customStyle="1" w:styleId="Heading2Char">
    <w:name w:val="Heading 2 Char"/>
    <w:basedOn w:val="DefaultParagraphFont"/>
    <w:link w:val="Heading2"/>
    <w:uiPriority w:val="99"/>
    <w:locked/>
    <w:rPr>
      <w:rFonts w:ascii="Tahoma" w:hAnsi="Tahoma" w:cs="Tahoma"/>
      <w:b/>
      <w:bCs/>
      <w:sz w:val="19"/>
      <w:szCs w:val="19"/>
    </w:rPr>
  </w:style>
  <w:style w:type="character" w:customStyle="1" w:styleId="Heading3Char">
    <w:name w:val="Heading 3 Char"/>
    <w:basedOn w:val="DefaultParagraphFont"/>
    <w:link w:val="Heading3"/>
    <w:uiPriority w:val="99"/>
    <w:locked/>
    <w:rPr>
      <w:rFonts w:ascii="Tahoma" w:hAnsi="Tahoma" w:cs="Tahoma"/>
      <w:sz w:val="19"/>
      <w:szCs w:val="19"/>
    </w:rPr>
  </w:style>
  <w:style w:type="character" w:customStyle="1" w:styleId="Heading4Char">
    <w:name w:val="Heading 4 Char"/>
    <w:basedOn w:val="DefaultParagraphFont"/>
    <w:link w:val="Heading4"/>
    <w:uiPriority w:val="99"/>
    <w:locked/>
    <w:rPr>
      <w:rFonts w:ascii="Tahoma" w:hAnsi="Tahoma" w:cs="Tahoma"/>
      <w:sz w:val="19"/>
      <w:szCs w:val="19"/>
    </w:rPr>
  </w:style>
  <w:style w:type="character" w:customStyle="1" w:styleId="Heading5Char">
    <w:name w:val="Heading 5 Char"/>
    <w:basedOn w:val="DefaultParagraphFont"/>
    <w:link w:val="Heading5"/>
    <w:uiPriority w:val="99"/>
    <w:locked/>
    <w:rPr>
      <w:rFonts w:ascii="Tahoma" w:hAnsi="Tahoma" w:cs="Tahoma"/>
      <w:sz w:val="19"/>
      <w:szCs w:val="19"/>
    </w:rPr>
  </w:style>
  <w:style w:type="character" w:customStyle="1" w:styleId="Heading6Char">
    <w:name w:val="Heading 6 Char"/>
    <w:basedOn w:val="DefaultParagraphFont"/>
    <w:link w:val="Heading6"/>
    <w:uiPriority w:val="99"/>
    <w:locked/>
    <w:rPr>
      <w:rFonts w:ascii="Tahoma" w:hAnsi="Tahoma" w:cs="Tahoma"/>
      <w:sz w:val="19"/>
      <w:szCs w:val="19"/>
    </w:rPr>
  </w:style>
  <w:style w:type="character" w:customStyle="1" w:styleId="Heading7Char">
    <w:name w:val="Heading 7 Char"/>
    <w:basedOn w:val="DefaultParagraphFont"/>
    <w:link w:val="Heading7"/>
    <w:uiPriority w:val="99"/>
    <w:locked/>
    <w:rPr>
      <w:rFonts w:ascii="Tahoma" w:hAnsi="Tahoma" w:cs="Tahoma"/>
      <w:sz w:val="19"/>
      <w:szCs w:val="19"/>
    </w:rPr>
  </w:style>
  <w:style w:type="character" w:customStyle="1" w:styleId="Heading8Char">
    <w:name w:val="Heading 8 Char"/>
    <w:basedOn w:val="DefaultParagraphFont"/>
    <w:link w:val="Heading8"/>
    <w:uiPriority w:val="99"/>
    <w:locked/>
    <w:rPr>
      <w:rFonts w:ascii="Tahoma" w:hAnsi="Tahoma" w:cs="Tahoma"/>
      <w:sz w:val="19"/>
      <w:szCs w:val="19"/>
    </w:rPr>
  </w:style>
  <w:style w:type="character" w:customStyle="1" w:styleId="Heading9Char">
    <w:name w:val="Heading 9 Char"/>
    <w:basedOn w:val="DefaultParagraphFont"/>
    <w:link w:val="Heading9"/>
    <w:uiPriority w:val="99"/>
    <w:locked/>
    <w:rPr>
      <w:rFonts w:ascii="Tahoma" w:hAnsi="Tahoma" w:cs="Tahoma"/>
      <w:sz w:val="19"/>
      <w:szCs w:val="19"/>
    </w:rPr>
  </w:style>
  <w:style w:type="paragraph" w:customStyle="1" w:styleId="Body1">
    <w:name w:val="Body 1"/>
    <w:basedOn w:val="Normal"/>
    <w:uiPriority w:val="99"/>
    <w:pPr>
      <w:ind w:left="357"/>
    </w:pPr>
  </w:style>
  <w:style w:type="paragraph" w:customStyle="1" w:styleId="Body2">
    <w:name w:val="Body 2"/>
    <w:basedOn w:val="Normal"/>
    <w:uiPriority w:val="99"/>
    <w:pPr>
      <w:ind w:left="720"/>
    </w:pPr>
  </w:style>
  <w:style w:type="paragraph" w:customStyle="1" w:styleId="Body3">
    <w:name w:val="Body 3"/>
    <w:basedOn w:val="Normal"/>
    <w:uiPriority w:val="99"/>
    <w:pPr>
      <w:ind w:left="1077"/>
    </w:pPr>
  </w:style>
  <w:style w:type="paragraph" w:customStyle="1" w:styleId="Body4">
    <w:name w:val="Body 4"/>
    <w:basedOn w:val="Normal"/>
    <w:uiPriority w:val="99"/>
    <w:pPr>
      <w:ind w:left="1435"/>
    </w:pPr>
  </w:style>
  <w:style w:type="paragraph" w:customStyle="1" w:styleId="Body5">
    <w:name w:val="Body 5"/>
    <w:basedOn w:val="Normal"/>
    <w:uiPriority w:val="99"/>
    <w:pPr>
      <w:ind w:left="1803"/>
    </w:pPr>
  </w:style>
  <w:style w:type="paragraph" w:customStyle="1" w:styleId="Body6">
    <w:name w:val="Body 6"/>
    <w:basedOn w:val="Normal"/>
    <w:uiPriority w:val="99"/>
    <w:pPr>
      <w:ind w:left="2160"/>
    </w:pPr>
  </w:style>
  <w:style w:type="paragraph" w:customStyle="1" w:styleId="Body7">
    <w:name w:val="Body 7"/>
    <w:basedOn w:val="Normal"/>
    <w:uiPriority w:val="99"/>
    <w:pPr>
      <w:ind w:left="2506"/>
    </w:pPr>
  </w:style>
  <w:style w:type="paragraph" w:customStyle="1" w:styleId="Body8">
    <w:name w:val="Body 8"/>
    <w:basedOn w:val="Normal"/>
    <w:uiPriority w:val="99"/>
    <w:pPr>
      <w:ind w:left="2863"/>
    </w:pPr>
  </w:style>
  <w:style w:type="paragraph" w:customStyle="1" w:styleId="Body9">
    <w:name w:val="Body 9"/>
    <w:basedOn w:val="Normal"/>
    <w:uiPriority w:val="99"/>
    <w:pPr>
      <w:ind w:left="3221"/>
    </w:pPr>
  </w:style>
  <w:style w:type="paragraph" w:customStyle="1" w:styleId="Bullet1">
    <w:name w:val="Bullet 1"/>
    <w:basedOn w:val="Normal"/>
    <w:uiPriority w:val="99"/>
    <w:pPr>
      <w:numPr>
        <w:numId w:val="1"/>
      </w:numPr>
    </w:pPr>
  </w:style>
  <w:style w:type="paragraph" w:customStyle="1" w:styleId="Bullet2">
    <w:name w:val="Bullet 2"/>
    <w:basedOn w:val="Normal"/>
    <w:uiPriority w:val="99"/>
    <w:pPr>
      <w:numPr>
        <w:numId w:val="2"/>
      </w:numPr>
    </w:pPr>
  </w:style>
  <w:style w:type="paragraph" w:customStyle="1" w:styleId="Bullet3">
    <w:name w:val="Bullet 3"/>
    <w:basedOn w:val="Normal"/>
    <w:link w:val="Bullet3Char1"/>
    <w:uiPriority w:val="99"/>
    <w:pPr>
      <w:numPr>
        <w:numId w:val="3"/>
      </w:numPr>
    </w:pPr>
  </w:style>
  <w:style w:type="paragraph" w:customStyle="1" w:styleId="Bullet4">
    <w:name w:val="Bullet 4"/>
    <w:basedOn w:val="Normal"/>
    <w:uiPriority w:val="99"/>
    <w:pPr>
      <w:numPr>
        <w:numId w:val="4"/>
      </w:numPr>
    </w:pPr>
  </w:style>
  <w:style w:type="paragraph" w:customStyle="1" w:styleId="Bullet5">
    <w:name w:val="Bullet 5"/>
    <w:basedOn w:val="Normal"/>
    <w:uiPriority w:val="99"/>
    <w:pPr>
      <w:numPr>
        <w:numId w:val="5"/>
      </w:numPr>
    </w:pPr>
  </w:style>
  <w:style w:type="paragraph" w:customStyle="1" w:styleId="Bullet6">
    <w:name w:val="Bullet 6"/>
    <w:basedOn w:val="Normal"/>
    <w:uiPriority w:val="99"/>
    <w:pPr>
      <w:numPr>
        <w:numId w:val="6"/>
      </w:numPr>
    </w:pPr>
  </w:style>
  <w:style w:type="paragraph" w:customStyle="1" w:styleId="Bullet7">
    <w:name w:val="Bullet 7"/>
    <w:basedOn w:val="Normal"/>
    <w:uiPriority w:val="99"/>
    <w:pPr>
      <w:numPr>
        <w:numId w:val="7"/>
      </w:numPr>
    </w:pPr>
  </w:style>
  <w:style w:type="paragraph" w:customStyle="1" w:styleId="Bullet8">
    <w:name w:val="Bullet 8"/>
    <w:basedOn w:val="Normal"/>
    <w:uiPriority w:val="99"/>
    <w:pPr>
      <w:numPr>
        <w:numId w:val="8"/>
      </w:numPr>
    </w:pPr>
  </w:style>
  <w:style w:type="paragraph" w:customStyle="1" w:styleId="Bullet9">
    <w:name w:val="Bullet 9"/>
    <w:basedOn w:val="Body9"/>
    <w:uiPriority w:val="99"/>
    <w:pPr>
      <w:numPr>
        <w:numId w:val="9"/>
      </w:numPr>
    </w:pPr>
  </w:style>
  <w:style w:type="paragraph" w:customStyle="1" w:styleId="HeadingEULA">
    <w:name w:val="Heading EULA"/>
    <w:basedOn w:val="Normal"/>
    <w:next w:val="Normal"/>
    <w:uiPriority w:val="99"/>
    <w:rPr>
      <w:b/>
      <w:bCs/>
      <w:sz w:val="28"/>
      <w:szCs w:val="28"/>
    </w:rPr>
  </w:style>
  <w:style w:type="paragraph" w:customStyle="1" w:styleId="HeadingSoftwareTitle">
    <w:name w:val="Heading Software Title"/>
    <w:basedOn w:val="Normal"/>
    <w:next w:val="Normal"/>
    <w:uiPriority w:val="99"/>
    <w:pPr>
      <w:pBdr>
        <w:bottom w:val="single" w:sz="4" w:space="1" w:color="auto"/>
      </w:pBdr>
    </w:pPr>
    <w:rPr>
      <w:b/>
      <w:bCs/>
      <w:sz w:val="28"/>
      <w:szCs w:val="28"/>
    </w:rPr>
  </w:style>
  <w:style w:type="paragraph" w:customStyle="1" w:styleId="Preamble">
    <w:name w:val="Preamble"/>
    <w:basedOn w:val="Normal"/>
    <w:uiPriority w:val="99"/>
    <w:rPr>
      <w:b/>
      <w:bCs/>
    </w:rPr>
  </w:style>
  <w:style w:type="paragraph" w:customStyle="1" w:styleId="PreambleBorder">
    <w:name w:val="Preamble Border"/>
    <w:basedOn w:val="Normal"/>
    <w:next w:val="Heading1"/>
    <w:uiPriority w:val="99"/>
    <w:pPr>
      <w:pBdr>
        <w:bottom w:val="single" w:sz="4" w:space="1" w:color="auto"/>
      </w:pBdr>
    </w:pPr>
    <w:rPr>
      <w:b/>
      <w:bCs/>
    </w:rPr>
  </w:style>
  <w:style w:type="paragraph" w:customStyle="1" w:styleId="HeadingWarranty">
    <w:name w:val="Heading Warranty"/>
    <w:basedOn w:val="Normal"/>
    <w:uiPriority w:val="99"/>
    <w:pPr>
      <w:jc w:val="center"/>
    </w:pPr>
    <w:rPr>
      <w:b/>
      <w:bCs/>
    </w:rPr>
  </w:style>
  <w:style w:type="paragraph" w:customStyle="1" w:styleId="Heading1Warranty">
    <w:name w:val="Heading 1 Warranty"/>
    <w:basedOn w:val="Normal"/>
    <w:next w:val="Normal"/>
    <w:uiPriority w:val="99"/>
    <w:pPr>
      <w:numPr>
        <w:numId w:val="11"/>
      </w:numPr>
      <w:outlineLvl w:val="0"/>
    </w:pPr>
  </w:style>
  <w:style w:type="paragraph" w:customStyle="1" w:styleId="Heading2Warranty">
    <w:name w:val="Heading 2 Warranty"/>
    <w:basedOn w:val="Normal"/>
    <w:next w:val="Normal"/>
    <w:uiPriority w:val="99"/>
    <w:pPr>
      <w:numPr>
        <w:ilvl w:val="1"/>
        <w:numId w:val="11"/>
      </w:numPr>
      <w:outlineLvl w:val="1"/>
    </w:pPr>
  </w:style>
  <w:style w:type="paragraph" w:customStyle="1" w:styleId="Heading3Bold">
    <w:name w:val="Heading 3 Bold"/>
    <w:basedOn w:val="Heading3"/>
    <w:link w:val="Heading3BoldChar"/>
    <w:uiPriority w:val="99"/>
    <w:pPr>
      <w:numPr>
        <w:numId w:val="10"/>
      </w:numPr>
    </w:pPr>
    <w:rPr>
      <w:b/>
      <w:bCs/>
    </w:rPr>
  </w:style>
  <w:style w:type="paragraph" w:customStyle="1" w:styleId="Bullet4Underline">
    <w:name w:val="Bullet 4 Underline"/>
    <w:basedOn w:val="Bullet4"/>
    <w:uiPriority w:val="99"/>
    <w:rPr>
      <w:u w:val="single"/>
    </w:rPr>
  </w:style>
  <w:style w:type="paragraph" w:customStyle="1" w:styleId="Bullet3Underline">
    <w:name w:val="Bullet 3 Underline"/>
    <w:basedOn w:val="Bullet3"/>
    <w:uiPriority w:val="99"/>
    <w:pPr>
      <w:numPr>
        <w:numId w:val="0"/>
      </w:numPr>
    </w:pPr>
    <w:rPr>
      <w:u w:val="single"/>
    </w:rPr>
  </w:style>
  <w:style w:type="paragraph" w:customStyle="1" w:styleId="Body2Underline">
    <w:name w:val="Body 2 Underline"/>
    <w:basedOn w:val="Body2"/>
    <w:uiPriority w:val="99"/>
    <w:rPr>
      <w:u w:val="single"/>
    </w:rPr>
  </w:style>
  <w:style w:type="paragraph" w:customStyle="1" w:styleId="Body3Underline">
    <w:name w:val="Body 3 Underline"/>
    <w:basedOn w:val="Body3"/>
    <w:uiPriority w:val="99"/>
    <w:rPr>
      <w:u w:val="single"/>
    </w:rPr>
  </w:style>
  <w:style w:type="paragraph" w:styleId="BodyTextIndent">
    <w:name w:val="Body Text Indent"/>
    <w:basedOn w:val="Normal"/>
    <w:link w:val="BodyTextIndentChar"/>
    <w:uiPriority w:val="99"/>
    <w:pPr>
      <w:spacing w:line="480" w:lineRule="auto"/>
    </w:pPr>
  </w:style>
  <w:style w:type="character" w:customStyle="1" w:styleId="BodyTextIndentChar">
    <w:name w:val="Body Text Indent Char"/>
    <w:basedOn w:val="DefaultParagraphFont"/>
    <w:link w:val="BodyTextIndent"/>
    <w:uiPriority w:val="99"/>
    <w:semiHidden/>
    <w:locked/>
    <w:rPr>
      <w:rFonts w:ascii="Tahoma" w:hAnsi="Tahoma" w:cs="Tahoma"/>
      <w:sz w:val="19"/>
      <w:szCs w:val="19"/>
    </w:rPr>
  </w:style>
  <w:style w:type="paragraph" w:customStyle="1" w:styleId="Bullet4Italics">
    <w:name w:val="Bullet 4 Italics"/>
    <w:basedOn w:val="Bullet4"/>
    <w:uiPriority w:val="99"/>
    <w:rPr>
      <w:i/>
      <w:iCs/>
    </w:rPr>
  </w:style>
  <w:style w:type="character" w:customStyle="1" w:styleId="Body2Char">
    <w:name w:val="Body 2 Char"/>
    <w:basedOn w:val="DefaultParagraphFont"/>
    <w:uiPriority w:val="99"/>
    <w:rPr>
      <w:rFonts w:ascii="Tahoma" w:hAnsi="Tahoma" w:cs="Tahoma"/>
      <w:lang w:val="it-IT" w:eastAsia="en-US"/>
    </w:rPr>
  </w:style>
  <w:style w:type="character" w:customStyle="1" w:styleId="Body3Char">
    <w:name w:val="Body 3 Char"/>
    <w:basedOn w:val="DefaultParagraphFont"/>
    <w:uiPriority w:val="99"/>
    <w:rPr>
      <w:rFonts w:ascii="Tahoma" w:hAnsi="Tahoma" w:cs="Tahoma"/>
      <w:lang w:val="it-IT" w:eastAsia="en-US"/>
    </w:rPr>
  </w:style>
  <w:style w:type="character" w:customStyle="1" w:styleId="Body4Char">
    <w:name w:val="Body 4 Char"/>
    <w:basedOn w:val="DefaultParagraphFont"/>
    <w:uiPriority w:val="99"/>
    <w:rPr>
      <w:rFonts w:ascii="Tahoma" w:hAnsi="Tahoma" w:cs="Tahoma"/>
      <w:lang w:val="it-IT" w:eastAsia="en-US"/>
    </w:rPr>
  </w:style>
  <w:style w:type="character" w:customStyle="1" w:styleId="Body1Char">
    <w:name w:val="Body 1 Char"/>
    <w:basedOn w:val="DefaultParagraphFont"/>
    <w:uiPriority w:val="99"/>
    <w:rPr>
      <w:rFonts w:ascii="Tahoma" w:hAnsi="Tahoma" w:cs="Tahoma"/>
      <w:lang w:val="it-IT" w:eastAsia="en-US"/>
    </w:rPr>
  </w:style>
  <w:style w:type="paragraph" w:customStyle="1" w:styleId="PreambleBorderAbove">
    <w:name w:val="Preamble Border Above"/>
    <w:basedOn w:val="Preamble"/>
    <w:uiPriority w:val="99"/>
    <w:pPr>
      <w:pBdr>
        <w:top w:val="single" w:sz="4" w:space="1" w:color="auto"/>
      </w:pBdr>
    </w:p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ascii="Tahoma" w:hAnsi="Tahoma" w:cs="Tahoma"/>
      <w:sz w:val="20"/>
      <w:szCs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locked/>
    <w:rPr>
      <w:rFonts w:ascii="Tahoma" w:hAnsi="Tahoma" w:cs="Tahoma"/>
      <w:sz w:val="20"/>
      <w:szCs w:val="20"/>
    </w:rPr>
  </w:style>
  <w:style w:type="character" w:styleId="EndnoteReference">
    <w:name w:val="endnote reference"/>
    <w:basedOn w:val="DefaultParagraphFont"/>
    <w:uiPriority w:val="99"/>
    <w:semiHidden/>
    <w:rPr>
      <w:rFonts w:cs="Times New Roman"/>
      <w:vertAlign w:val="superscript"/>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locked/>
    <w:rPr>
      <w:rFonts w:ascii="Tahoma" w:hAnsi="Tahoma" w:cs="Tahoma"/>
      <w:sz w:val="20"/>
      <w:szCs w:val="20"/>
    </w:rPr>
  </w:style>
  <w:style w:type="character" w:styleId="CommentReference">
    <w:name w:val="annotation reference"/>
    <w:basedOn w:val="DefaultParagraphFont"/>
    <w:uiPriority w:val="99"/>
    <w:semiHidden/>
    <w:rPr>
      <w:rFonts w:cs="Times New Roman"/>
      <w:sz w:val="16"/>
      <w:szCs w:val="16"/>
    </w:rPr>
  </w:style>
  <w:style w:type="paragraph" w:customStyle="1" w:styleId="Char">
    <w:name w:val="Char"/>
    <w:basedOn w:val="Normal"/>
    <w:uiPriority w:val="99"/>
    <w:pPr>
      <w:spacing w:before="0" w:after="160" w:line="240" w:lineRule="exact"/>
    </w:pPr>
  </w:style>
  <w:style w:type="paragraph" w:customStyle="1" w:styleId="CharCharCharChar">
    <w:name w:val="Char Char Char Char"/>
    <w:basedOn w:val="Normal"/>
    <w:uiPriority w:val="99"/>
    <w:pPr>
      <w:spacing w:before="0" w:after="160" w:line="240" w:lineRule="exact"/>
    </w:pPr>
  </w:style>
  <w:style w:type="character" w:styleId="Hyperlink">
    <w:name w:val="Hyperlink"/>
    <w:aliases w:val="Char Char7"/>
    <w:basedOn w:val="DefaultParagraphFont"/>
    <w:uiPriority w:val="99"/>
    <w:rPr>
      <w:rFonts w:cs="Times New Roman"/>
      <w:color w:val="0000FF"/>
      <w:u w:val="single"/>
    </w:rPr>
  </w:style>
  <w:style w:type="paragraph" w:styleId="BalloonText">
    <w:name w:val="Balloon Text"/>
    <w:basedOn w:val="Normal"/>
    <w:link w:val="BalloonTextChar"/>
    <w:uiPriority w:val="99"/>
    <w:semiHidden/>
    <w:rPr>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Heading2Char1">
    <w:name w:val="Heading 2 Char1"/>
    <w:basedOn w:val="DefaultParagraphFont"/>
    <w:uiPriority w:val="99"/>
    <w:rPr>
      <w:rFonts w:ascii="Trebuchet MS" w:hAnsi="Trebuchet MS" w:cs="Trebuchet MS"/>
      <w:b/>
      <w:bCs/>
      <w:lang w:val="it-IT" w:eastAsia="en-US"/>
    </w:rPr>
  </w:style>
  <w:style w:type="character" w:styleId="PageNumber">
    <w:name w:val="page number"/>
    <w:basedOn w:val="DefaultParagraphFont"/>
    <w:uiPriority w:val="99"/>
    <w:rPr>
      <w:rFonts w:cs="Times New Roman"/>
    </w:rPr>
  </w:style>
  <w:style w:type="paragraph" w:customStyle="1" w:styleId="CharCharCharChar1">
    <w:name w:val="Char Char Char Char1"/>
    <w:basedOn w:val="Normal"/>
    <w:uiPriority w:val="99"/>
    <w:pPr>
      <w:spacing w:before="0" w:after="160" w:line="240" w:lineRule="exact"/>
    </w:pPr>
  </w:style>
  <w:style w:type="paragraph" w:customStyle="1" w:styleId="Body0Bold">
    <w:name w:val="Body 0 Bold"/>
    <w:next w:val="Normal"/>
    <w:link w:val="Body0BoldChar"/>
    <w:uiPriority w:val="99"/>
    <w:pPr>
      <w:spacing w:after="0" w:line="240" w:lineRule="auto"/>
    </w:pPr>
    <w:rPr>
      <w:rFonts w:ascii="Tahoma" w:hAnsi="Tahoma" w:cs="Tahoma"/>
      <w:b/>
      <w:bCs/>
      <w:sz w:val="19"/>
      <w:szCs w:val="19"/>
    </w:rPr>
  </w:style>
  <w:style w:type="paragraph" w:customStyle="1" w:styleId="Body0">
    <w:name w:val="Body 0"/>
    <w:next w:val="Normal"/>
    <w:uiPriority w:val="99"/>
    <w:pPr>
      <w:spacing w:after="0" w:line="240" w:lineRule="auto"/>
    </w:pPr>
    <w:rPr>
      <w:rFonts w:ascii="Tahoma" w:hAnsi="Tahoma" w:cs="Tahoma"/>
      <w:sz w:val="19"/>
      <w:szCs w:val="19"/>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ahoma" w:hAnsi="Tahoma" w:cs="Tahoma"/>
      <w:sz w:val="19"/>
      <w:szCs w:val="19"/>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ahoma" w:hAnsi="Tahoma" w:cs="Tahoma"/>
      <w:sz w:val="19"/>
      <w:szCs w:val="19"/>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locked/>
    <w:rPr>
      <w:rFonts w:ascii="Tahoma" w:hAnsi="Tahoma" w:cs="Tahoma"/>
      <w:b/>
      <w:bCs/>
      <w:sz w:val="20"/>
      <w:szCs w:val="20"/>
    </w:rPr>
  </w:style>
  <w:style w:type="character" w:customStyle="1" w:styleId="Bullet3Char1">
    <w:name w:val="Bullet 3 Char1"/>
    <w:basedOn w:val="DefaultParagraphFont"/>
    <w:link w:val="Bullet3"/>
    <w:uiPriority w:val="99"/>
    <w:locked/>
    <w:rPr>
      <w:rFonts w:ascii="Tahoma" w:hAnsi="Tahoma" w:cs="Tahoma"/>
      <w:sz w:val="19"/>
      <w:szCs w:val="19"/>
    </w:rPr>
  </w:style>
  <w:style w:type="paragraph" w:customStyle="1" w:styleId="Bullet3Underlined">
    <w:name w:val="Bullet 3 Underlined"/>
    <w:basedOn w:val="Bullet3"/>
    <w:uiPriority w:val="99"/>
    <w:rPr>
      <w:u w:val="single"/>
    </w:rPr>
  </w:style>
  <w:style w:type="character" w:customStyle="1" w:styleId="CharChar">
    <w:name w:val="Char Char"/>
    <w:basedOn w:val="DefaultParagraphFont"/>
    <w:uiPriority w:val="99"/>
    <w:rPr>
      <w:rFonts w:ascii="Tahoma" w:eastAsia="MS Mincho" w:hAnsi="Tahoma" w:cs="Tahoma"/>
      <w:sz w:val="19"/>
      <w:szCs w:val="19"/>
      <w:lang w:val="it-IT" w:eastAsia="en-US"/>
    </w:rPr>
  </w:style>
  <w:style w:type="paragraph" w:customStyle="1" w:styleId="AdditionalSoftware">
    <w:name w:val="AdditionalSoftware"/>
    <w:pPr>
      <w:spacing w:after="0" w:line="240" w:lineRule="exact"/>
    </w:pPr>
    <w:rPr>
      <w:rFonts w:ascii="Trebuchet MS" w:hAnsi="Trebuchet MS" w:cs="Tahoma"/>
      <w:sz w:val="18"/>
      <w:szCs w:val="20"/>
    </w:rPr>
  </w:style>
  <w:style w:type="character" w:customStyle="1" w:styleId="CharChar1">
    <w:name w:val="Char Char1"/>
    <w:basedOn w:val="DefaultParagraphFont"/>
    <w:rPr>
      <w:rFonts w:ascii="Trebuchet MS" w:hAnsi="Trebuchet MS" w:cs="Tahoma"/>
      <w:b/>
      <w:sz w:val="24"/>
      <w:szCs w:val="24"/>
      <w:lang w:val="it-IT" w:eastAsia="en-US" w:bidi="ar-SA"/>
    </w:rPr>
  </w:style>
  <w:style w:type="paragraph" w:customStyle="1" w:styleId="Bullet4Underlined">
    <w:name w:val="Bullet 4 Underlined"/>
    <w:basedOn w:val="Bullet4"/>
    <w:rPr>
      <w:u w:val="single"/>
    </w:rPr>
  </w:style>
  <w:style w:type="paragraph" w:customStyle="1" w:styleId="HeadingFrenchWarranty">
    <w:name w:val="Heading French Warranty"/>
    <w:basedOn w:val="Normal"/>
    <w:pPr>
      <w:numPr>
        <w:numId w:val="13"/>
      </w:numPr>
    </w:pPr>
  </w:style>
  <w:style w:type="character" w:customStyle="1" w:styleId="Body3CharCarCarCarCarCarCarCarCarCarCarCarCarCarCarCarCarCarCarCarCarCarCarCarCar">
    <w:name w:val="Body 3 Char Car Car Car Car Car Car Car Car Car Car Car Car Car Car Car Car Car Car Car Car Car Car Car Car"/>
    <w:uiPriority w:val="99"/>
    <w:locked/>
    <w:rPr>
      <w:rFonts w:ascii="Tahoma" w:hAnsi="Tahoma"/>
      <w:lang w:val="it-IT" w:eastAsia="x-none"/>
    </w:rPr>
  </w:style>
  <w:style w:type="character" w:customStyle="1" w:styleId="tw4winExternal">
    <w:name w:val="tw4winExternal"/>
    <w:uiPriority w:val="99"/>
    <w:rPr>
      <w:rFonts w:ascii="Courier New" w:hAnsi="Courier New"/>
      <w:noProof/>
      <w:color w:val="808080"/>
    </w:rPr>
  </w:style>
  <w:style w:type="character" w:customStyle="1" w:styleId="tw4winMark">
    <w:name w:val="tw4winMark"/>
    <w:uiPriority w:val="99"/>
    <w:rPr>
      <w:rFonts w:ascii="Courier New" w:hAnsi="Courier New"/>
      <w:vanish/>
      <w:color w:val="800080"/>
      <w:sz w:val="24"/>
      <w:vertAlign w:val="subscript"/>
    </w:rPr>
  </w:style>
  <w:style w:type="character" w:customStyle="1" w:styleId="PreambleChar">
    <w:name w:val="Preamble Char"/>
    <w:uiPriority w:val="99"/>
    <w:rPr>
      <w:rFonts w:ascii="Tahoma" w:hAnsi="Tahoma"/>
      <w:b/>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BodyText2">
    <w:name w:val="Body Text 2"/>
    <w:basedOn w:val="Normal"/>
    <w:link w:val="BodyText2Char"/>
    <w:uiPriority w:val="99"/>
    <w:pPr>
      <w:spacing w:line="480" w:lineRule="auto"/>
    </w:pPr>
  </w:style>
  <w:style w:type="character" w:customStyle="1" w:styleId="BodyText2Char">
    <w:name w:val="Body Text 2 Char"/>
    <w:basedOn w:val="DefaultParagraphFont"/>
    <w:link w:val="BodyText2"/>
    <w:uiPriority w:val="99"/>
    <w:locked/>
    <w:rPr>
      <w:rFonts w:ascii="Tahoma" w:hAnsi="Tahoma" w:cs="Tahoma"/>
      <w:sz w:val="19"/>
      <w:szCs w:val="19"/>
    </w:rPr>
  </w:style>
  <w:style w:type="paragraph" w:customStyle="1" w:styleId="StyleHeading3BoldAsianTimesNewRoman95pt">
    <w:name w:val="Style Heading 3 Bold + (Asian) Times New Roman 9.5 pt"/>
    <w:basedOn w:val="Heading3Bold"/>
    <w:link w:val="StyleHeading3BoldAsianTimesNewRoman95ptChar"/>
    <w:uiPriority w:val="99"/>
    <w:rPr>
      <w:b w:val="0"/>
      <w:bCs w:val="0"/>
    </w:rPr>
  </w:style>
  <w:style w:type="character" w:customStyle="1" w:styleId="Heading3BoldChar">
    <w:name w:val="Heading 3 Bold Char"/>
    <w:basedOn w:val="DefaultParagraphFont"/>
    <w:link w:val="Heading3Bold"/>
    <w:uiPriority w:val="99"/>
    <w:locked/>
    <w:rPr>
      <w:rFonts w:ascii="Tahoma" w:hAnsi="Tahoma" w:cs="Tahoma"/>
      <w:b/>
      <w:bCs/>
      <w:sz w:val="19"/>
      <w:szCs w:val="19"/>
    </w:rPr>
  </w:style>
  <w:style w:type="character" w:customStyle="1" w:styleId="StyleHeading3BoldAsianTimesNewRoman95ptChar">
    <w:name w:val="Style Heading 3 Bold + (Asian) Times New Roman 9.5 pt Char"/>
    <w:basedOn w:val="Heading3BoldChar"/>
    <w:link w:val="StyleHeading3BoldAsianTimesNewRoman95pt"/>
    <w:uiPriority w:val="99"/>
    <w:locked/>
    <w:rPr>
      <w:rFonts w:ascii="Tahoma" w:hAnsi="Tahoma" w:cs="Tahoma"/>
      <w:b w:val="0"/>
      <w:bCs w:val="0"/>
      <w:sz w:val="19"/>
      <w:szCs w:val="19"/>
    </w:rPr>
  </w:style>
  <w:style w:type="character" w:customStyle="1" w:styleId="Body0BoldChar">
    <w:name w:val="Body 0 Bold Char"/>
    <w:basedOn w:val="DefaultParagraphFont"/>
    <w:link w:val="Body0Bold"/>
    <w:uiPriority w:val="99"/>
    <w:locked/>
    <w:rPr>
      <w:rFonts w:ascii="Tahoma" w:hAnsi="Tahoma" w:cs="Tahoma"/>
      <w:b/>
      <w:bCs/>
      <w:sz w:val="19"/>
      <w:szCs w:val="19"/>
    </w:rPr>
  </w:style>
  <w:style w:type="paragraph" w:customStyle="1" w:styleId="LIMPAT4WINEXTERNAL">
    <w:name w:val="LIMPA_T4WINEXTERNAL"/>
    <w:basedOn w:val="Normal"/>
    <w:link w:val="LIMPAT4WINEXTERNALChar"/>
    <w:uiPriority w:val="99"/>
    <w:pPr>
      <w:spacing w:before="0" w:after="0"/>
    </w:pPr>
    <w:rPr>
      <w:b/>
      <w:bCs/>
      <w:sz w:val="20"/>
      <w:szCs w:val="20"/>
      <w:vertAlign w:val="superscript"/>
      <w:lang w:eastAsia="zh-CN"/>
    </w:rPr>
  </w:style>
  <w:style w:type="character" w:customStyle="1" w:styleId="LIMPAT4WINEXTERNALChar">
    <w:name w:val="LIMPA_T4WINEXTERNAL Char"/>
    <w:basedOn w:val="DefaultParagraphFont"/>
    <w:link w:val="LIMPAT4WINEXTERNAL"/>
    <w:uiPriority w:val="99"/>
    <w:locked/>
    <w:rPr>
      <w:rFonts w:ascii="Tahoma" w:hAnsi="Tahoma" w:cs="Tahoma"/>
      <w:b/>
      <w:bCs/>
      <w:sz w:val="20"/>
      <w:szCs w:val="20"/>
      <w:vertAlign w:val="superscript"/>
      <w:lang w:val="it-IT" w:eastAsia="zh-CN"/>
    </w:rPr>
  </w:style>
  <w:style w:type="paragraph" w:styleId="Revision">
    <w:name w:val="Revision"/>
    <w:hidden/>
    <w:uiPriority w:val="99"/>
    <w:semiHidden/>
    <w:rsid w:val="00F61089"/>
    <w:pPr>
      <w:spacing w:after="0" w:line="240" w:lineRule="auto"/>
    </w:pPr>
    <w:rPr>
      <w:rFonts w:ascii="Tahoma" w:hAnsi="Tahoma" w:cs="Tahoma"/>
      <w:sz w:val="19"/>
      <w:szCs w:val="19"/>
    </w:rPr>
  </w:style>
  <w:style w:type="paragraph" w:styleId="ListParagraph">
    <w:name w:val="List Paragraph"/>
    <w:basedOn w:val="Normal"/>
    <w:uiPriority w:val="34"/>
    <w:qFormat/>
    <w:rsid w:val="00A060BA"/>
    <w:pPr>
      <w:ind w:left="720"/>
      <w:contextualSpacing/>
    </w:pPr>
  </w:style>
  <w:style w:type="paragraph" w:styleId="NormalWeb">
    <w:name w:val="Normal (Web)"/>
    <w:basedOn w:val="Normal"/>
    <w:uiPriority w:val="99"/>
    <w:semiHidden/>
    <w:unhideWhenUsed/>
    <w:rsid w:val="0011022C"/>
    <w:pPr>
      <w:spacing w:before="100" w:beforeAutospacing="1" w:after="100" w:afterAutospacing="1"/>
    </w:pPr>
    <w:rPr>
      <w:rFonts w:ascii="Times New Roman" w:hAnsi="Times New Roman" w:cs="Times New Roman"/>
      <w:sz w:val="24"/>
      <w:szCs w:val="24"/>
    </w:rPr>
  </w:style>
  <w:style w:type="character" w:customStyle="1" w:styleId="Mention1">
    <w:name w:val="Mention1"/>
    <w:basedOn w:val="DefaultParagraphFont"/>
    <w:uiPriority w:val="99"/>
    <w:semiHidden/>
    <w:unhideWhenUsed/>
    <w:rsid w:val="00093887"/>
    <w:rPr>
      <w:rFonts w:cs="Times New Roma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973450">
      <w:marLeft w:val="0"/>
      <w:marRight w:val="0"/>
      <w:marTop w:val="0"/>
      <w:marBottom w:val="0"/>
      <w:divBdr>
        <w:top w:val="none" w:sz="0" w:space="0" w:color="auto"/>
        <w:left w:val="none" w:sz="0" w:space="0" w:color="auto"/>
        <w:bottom w:val="none" w:sz="0" w:space="0" w:color="auto"/>
        <w:right w:val="none" w:sz="0" w:space="0" w:color="auto"/>
      </w:divBdr>
    </w:div>
    <w:div w:id="986973451">
      <w:marLeft w:val="0"/>
      <w:marRight w:val="0"/>
      <w:marTop w:val="0"/>
      <w:marBottom w:val="0"/>
      <w:divBdr>
        <w:top w:val="none" w:sz="0" w:space="0" w:color="auto"/>
        <w:left w:val="none" w:sz="0" w:space="0" w:color="auto"/>
        <w:bottom w:val="none" w:sz="0" w:space="0" w:color="auto"/>
        <w:right w:val="none" w:sz="0" w:space="0" w:color="auto"/>
      </w:divBdr>
    </w:div>
    <w:div w:id="986973452">
      <w:marLeft w:val="0"/>
      <w:marRight w:val="0"/>
      <w:marTop w:val="0"/>
      <w:marBottom w:val="0"/>
      <w:divBdr>
        <w:top w:val="none" w:sz="0" w:space="0" w:color="auto"/>
        <w:left w:val="none" w:sz="0" w:space="0" w:color="auto"/>
        <w:bottom w:val="none" w:sz="0" w:space="0" w:color="auto"/>
        <w:right w:val="none" w:sz="0" w:space="0" w:color="auto"/>
      </w:divBdr>
    </w:div>
    <w:div w:id="986973453">
      <w:marLeft w:val="0"/>
      <w:marRight w:val="0"/>
      <w:marTop w:val="0"/>
      <w:marBottom w:val="0"/>
      <w:divBdr>
        <w:top w:val="none" w:sz="0" w:space="0" w:color="auto"/>
        <w:left w:val="none" w:sz="0" w:space="0" w:color="auto"/>
        <w:bottom w:val="none" w:sz="0" w:space="0" w:color="auto"/>
        <w:right w:val="none" w:sz="0" w:space="0" w:color="auto"/>
      </w:divBdr>
    </w:div>
    <w:div w:id="986973454">
      <w:marLeft w:val="0"/>
      <w:marRight w:val="0"/>
      <w:marTop w:val="0"/>
      <w:marBottom w:val="0"/>
      <w:divBdr>
        <w:top w:val="none" w:sz="0" w:space="0" w:color="auto"/>
        <w:left w:val="none" w:sz="0" w:space="0" w:color="auto"/>
        <w:bottom w:val="none" w:sz="0" w:space="0" w:color="auto"/>
        <w:right w:val="none" w:sz="0" w:space="0" w:color="auto"/>
      </w:divBdr>
    </w:div>
    <w:div w:id="986973455">
      <w:marLeft w:val="0"/>
      <w:marRight w:val="0"/>
      <w:marTop w:val="0"/>
      <w:marBottom w:val="0"/>
      <w:divBdr>
        <w:top w:val="none" w:sz="0" w:space="0" w:color="auto"/>
        <w:left w:val="none" w:sz="0" w:space="0" w:color="auto"/>
        <w:bottom w:val="none" w:sz="0" w:space="0" w:color="auto"/>
        <w:right w:val="none" w:sz="0" w:space="0" w:color="auto"/>
      </w:divBdr>
    </w:div>
    <w:div w:id="9869734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microsoft.com/fwlink/?linkid=82309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rosoft.com/exporting" TargetMode="External"/><Relationship Id="rId5" Type="http://schemas.openxmlformats.org/officeDocument/2006/relationships/webSettings" Target="webSettings.xml"/><Relationship Id="rId10" Type="http://schemas.openxmlformats.org/officeDocument/2006/relationships/hyperlink" Target="http://go.microsoft.com/?linkid=9840733" TargetMode="External"/><Relationship Id="rId4" Type="http://schemas.openxmlformats.org/officeDocument/2006/relationships/settings" Target="settings.xml"/><Relationship Id="rId9" Type="http://schemas.openxmlformats.org/officeDocument/2006/relationships/hyperlink" Target="https://go.microsoft.com/fwlink/?LinkID=8247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56D04-4A26-4D6F-BDA3-3D19E350DBF0}">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ZMExtensions</vt:lpwstr>
  </property>
  <property fmtid="{D5CDD505-2E9C-101B-9397-08002B2CF9AE}" pid="3" name="SizeBefore">
    <vt:lpwstr>28870</vt:lpwstr>
  </property>
  <property fmtid="{D5CDD505-2E9C-101B-9397-08002B2CF9AE}" pid="4" name="OptimizationTime">
    <vt:lpwstr>20180321_1202</vt:lpwstr>
  </property>
</Properties>
</file>

<file path=docProps/app.xml><?xml version="1.0" encoding="utf-8"?>
<Properties xmlns="http://schemas.openxmlformats.org/officeDocument/2006/extended-properties" xmlns:vt="http://schemas.openxmlformats.org/officeDocument/2006/docPropsVTypes">
  <Template>Normal</Template>
  <TotalTime>0</TotalTime>
  <Pages>3</Pages>
  <Words>1865</Words>
  <Characters>10634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2018-03-12T17:07:00Z</dcterms:created>
  <dcterms:modified xsi:type="dcterms:W3CDTF">2018-03-21T14:51:00Z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Owner">
    <vt:lpwstr>kathan@microsoft.com</vt:lpwstr>
  </property>
  <property fmtid="{D5CDD505-2E9C-101B-9397-08002B2CF9AE}" pid="6" name="MSIP_Label_f42aa342-8706-4288-bd11-ebb85995028c_SetDate">
    <vt:lpwstr>2017-10-16T14:47:43.9897810-07:00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