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CONTRATTO DI LICENZA PER IL SOFTWARE MICROSOFT</w:t>
      </w:r>
    </w:p>
    <w:p w:rsidR="00F15EA7" w:rsidRPr="00C45CAE" w:rsidRDefault="00E47200">
      <w:pPr>
        <w:pStyle w:val="HeadingSoftwareTitle"/>
        <w:widowControl w:val="0"/>
        <w:rPr>
          <w:rFonts w:eastAsia="SimSun"/>
          <w:sz w:val="20"/>
          <w:szCs w:val="20"/>
        </w:rPr>
      </w:pPr>
      <w:r>
        <w:rPr>
          <w:sz w:val="20"/>
          <w:szCs w:val="20"/>
        </w:rPr>
        <w:t xml:space="preserve">STRUMENTI, ADD-ON ED ESTENSIONI MICROSOFT VISUAL STUDIO 2017  </w:t>
      </w:r>
    </w:p>
    <w:p w:rsidR="00F15EA7" w:rsidRPr="00C45CAE" w:rsidRDefault="00E47200">
      <w:pPr>
        <w:pStyle w:val="Preamble"/>
        <w:widowControl w:val="0"/>
        <w:rPr>
          <w:rFonts w:eastAsia="SimSun"/>
          <w:b w:val="0"/>
          <w:bCs w:val="0"/>
          <w:sz w:val="20"/>
          <w:szCs w:val="20"/>
        </w:rPr>
      </w:pPr>
      <w:r>
        <w:rPr>
          <w:b w:val="0"/>
          <w:bCs w:val="0"/>
          <w:sz w:val="20"/>
          <w:szCs w:val="20"/>
        </w:rPr>
        <w:t>Le presenti condizioni di licenza costituiscono il contratto tra Microsoft Corporation (o, in base al luogo di residenza del licenziatario, una delle sue consociate) e il licenziatario, Tali condizioni si applicano al software Microsoft di cui sopra. Le condizioni si applicano inoltre a qualsiasi servizio o aggiornamento di Microsoft relativo al software, a meno che questo non sia accompagnato da condizioni differenti.</w:t>
      </w:r>
    </w:p>
    <w:p w:rsidR="00F15EA7" w:rsidRPr="00C45CAE" w:rsidRDefault="00E47200">
      <w:pPr>
        <w:pStyle w:val="PreambleBorderAbove"/>
        <w:widowControl w:val="0"/>
        <w:rPr>
          <w:rFonts w:eastAsia="SimSun"/>
          <w:sz w:val="20"/>
          <w:szCs w:val="20"/>
        </w:rPr>
      </w:pPr>
      <w:r>
        <w:rPr>
          <w:sz w:val="20"/>
          <w:szCs w:val="20"/>
        </w:rPr>
        <w:t>QUALORA IL LICENZIATARIO SI ATTENGA ALLE PRESENTI CONDIZIONI DI LICENZA, DISPORRÀ DEI DIRITTI INDICATI DI SEGUITO.</w:t>
      </w:r>
    </w:p>
    <w:p w:rsidR="00B406AF" w:rsidRPr="00C45CAE" w:rsidRDefault="00E47200">
      <w:pPr>
        <w:pStyle w:val="Heading1"/>
        <w:widowControl w:val="0"/>
        <w:rPr>
          <w:rFonts w:eastAsia="SimSun"/>
          <w:b w:val="0"/>
          <w:bCs w:val="0"/>
          <w:sz w:val="20"/>
          <w:szCs w:val="20"/>
        </w:rPr>
      </w:pPr>
      <w:r>
        <w:rPr>
          <w:sz w:val="20"/>
          <w:szCs w:val="20"/>
        </w:rPr>
        <w:t xml:space="preserve">INSTALLAZIONE E DIRITTI SULL’UTILIZZO.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Il licenziatario potrà installare e utilizzare un numero qualsiasi di copie del software.</w:t>
      </w:r>
    </w:p>
    <w:p w:rsidR="0054177A" w:rsidRPr="00C45CAE" w:rsidRDefault="0054177A">
      <w:pPr>
        <w:pStyle w:val="Heading1"/>
        <w:widowControl w:val="0"/>
        <w:rPr>
          <w:rStyle w:val="Body2Char"/>
          <w:rFonts w:eastAsia="SimSun"/>
          <w:b w:val="0"/>
          <w:bCs w:val="0"/>
          <w:sz w:val="20"/>
          <w:szCs w:val="20"/>
        </w:rPr>
      </w:pPr>
      <w:r>
        <w:rPr>
          <w:sz w:val="20"/>
          <w:szCs w:val="20"/>
        </w:rPr>
        <w:t>CONDIZIONI PER COMPONENTI SPECIFICI.</w:t>
      </w:r>
    </w:p>
    <w:p w:rsidR="00585893" w:rsidRPr="00A44DF6" w:rsidRDefault="00585893" w:rsidP="0054177A">
      <w:pPr>
        <w:pStyle w:val="Heading2"/>
        <w:rPr>
          <w:rFonts w:eastAsia="SimSun"/>
          <w:b w:val="0"/>
          <w:sz w:val="20"/>
          <w:szCs w:val="20"/>
        </w:rPr>
      </w:pPr>
      <w:r>
        <w:rPr>
          <w:sz w:val="20"/>
          <w:szCs w:val="20"/>
        </w:rPr>
        <w:t xml:space="preserve">Utilità. </w:t>
      </w:r>
      <w:r>
        <w:rPr>
          <w:b w:val="0"/>
          <w:sz w:val="20"/>
          <w:szCs w:val="20"/>
        </w:rPr>
        <w:t xml:space="preserve">Il software potrà contenere alcuni componenti identificati nell’Elenco delle Utilità alla pagina </w:t>
      </w:r>
      <w:hyperlink r:id="rId8" w:history="1">
        <w:r>
          <w:rPr>
            <w:rStyle w:val="Hyperlink"/>
            <w:b w:val="0"/>
            <w:sz w:val="20"/>
            <w:szCs w:val="20"/>
          </w:rPr>
          <w:t>https://go.microsoft.com/fwlink/?linkid=823097</w:t>
        </w:r>
      </w:hyperlink>
      <w:r>
        <w:rPr>
          <w:b w:val="0"/>
          <w:sz w:val="20"/>
          <w:szCs w:val="20"/>
        </w:rPr>
        <w:t xml:space="preserve">.   Il licenziatario potrà duplicare e installare tali Utilità, qualora siano incluse nel software, su dispositivi per eseguire il debug e la distribuzione delle applicazioni e dei database che ha sviluppato con il software. </w:t>
      </w:r>
      <w:r>
        <w:rPr>
          <w:b w:val="0"/>
          <w:bCs w:val="0"/>
          <w:sz w:val="20"/>
          <w:szCs w:val="20"/>
        </w:rPr>
        <w:t>Il licenziatario dovrà tenere presente che le Utilità sono progettate per un utilizzo temporaneo, che Microsoft potrebbe non essere in grado di applicare patch alle Utilità né di aggiornarle separatamente dal resto del software e che alcune Utilità potrebbero consentire ad altri di accedere ai dispositivi su cui sono installate. Di conseguenza, il licenziatario deve eliminare tutte le Utilità installate al termine del debug o della distribuzione di applicazioni e database.  Microsoft non è responsabile dell’utilizzo da parte di terzi delle Utilità che il licenziatario installa su un dispositivo, né dell’accesso ad esse</w:t>
      </w:r>
      <w:r>
        <w:rPr>
          <w:b w:val="0"/>
          <w:sz w:val="20"/>
          <w:szCs w:val="20"/>
        </w:rPr>
        <w:t>.</w:t>
      </w:r>
    </w:p>
    <w:p w:rsidR="00A44DF6" w:rsidRPr="00C45CAE" w:rsidRDefault="00A44DF6" w:rsidP="0054177A">
      <w:pPr>
        <w:pStyle w:val="Heading2"/>
        <w:rPr>
          <w:rFonts w:eastAsia="SimSun"/>
          <w:b w:val="0"/>
          <w:sz w:val="20"/>
          <w:szCs w:val="20"/>
        </w:rPr>
      </w:pPr>
      <w:r>
        <w:t>Build Tools.</w:t>
      </w:r>
      <w:r>
        <w:rPr>
          <w:b w:val="0"/>
        </w:rPr>
        <w:t xml:space="preserve">  Il software potrà includere strumenti di compilazione con condizioni per l’utilizzo specifiche.   Per quanto concerne gli strumenti di compilazione, 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t</w:t>
      </w:r>
      <w:r>
        <w:rPr>
          <w:b w:val="0"/>
          <w:bCs w:val="0"/>
        </w:rPr>
        <w:t>ali file presenti nei Dispositivi di Compilazione solo per compilare e verificare le applicazioni oppure per eseguire test di qualità o delle prestazioni di tali applicazioni durante il processo di compilazione.  Per chiarezza, “applicazioni” indica le applicazioni sviluppate dal licenziatario e da altri soggetti della sua organizzazione, ciascuno dei quali è autorizzato a utilizzare il software.</w:t>
      </w:r>
    </w:p>
    <w:p w:rsidR="0054177A" w:rsidRPr="00C45CAE" w:rsidRDefault="0054177A" w:rsidP="0054177A">
      <w:pPr>
        <w:pStyle w:val="Heading2"/>
        <w:rPr>
          <w:rFonts w:eastAsia="SimSun"/>
          <w:b w:val="0"/>
          <w:sz w:val="20"/>
          <w:szCs w:val="20"/>
        </w:rPr>
      </w:pPr>
      <w:r>
        <w:rPr>
          <w:sz w:val="20"/>
          <w:szCs w:val="20"/>
        </w:rPr>
        <w:t xml:space="preserve">Piattaforme Microsoft.  </w:t>
      </w:r>
      <w:r>
        <w:rPr>
          <w:b w:val="0"/>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Pr>
          <w:rFonts w:ascii="Garamond" w:hAnsi="Garamond"/>
          <w:b w:val="0"/>
          <w:color w:val="002060"/>
          <w:sz w:val="20"/>
          <w:szCs w:val="20"/>
        </w:rPr>
        <w:t xml:space="preserve"> </w:t>
      </w:r>
      <w:r>
        <w:rPr>
          <w:b w:val="0"/>
          <w:sz w:val="20"/>
          <w:szCs w:val="20"/>
        </w:rPr>
        <w:t>cartella “Licenze” Microsoft fornita insieme al software. Nel caso in cui nella directory di installazione associata siano incluse anche condizioni di licenza per i suddetti componenti, tali condizioni di licenza avranno prevalenza.</w:t>
      </w:r>
    </w:p>
    <w:p w:rsidR="0011022C" w:rsidRDefault="0011022C" w:rsidP="0011022C">
      <w:pPr>
        <w:pStyle w:val="Heading2"/>
        <w:rPr>
          <w:b w:val="0"/>
          <w:sz w:val="20"/>
          <w:szCs w:val="20"/>
        </w:rPr>
      </w:pPr>
      <w:r>
        <w:rPr>
          <w:sz w:val="20"/>
          <w:szCs w:val="20"/>
        </w:rPr>
        <w:t xml:space="preserve">Componenti di Terzi.  </w:t>
      </w:r>
      <w:r>
        <w:rPr>
          <w:b w:val="0"/>
          <w:sz w:val="20"/>
          <w:szCs w:val="20"/>
        </w:rPr>
        <w:t xml:space="preserve">Il software potrà includere componenti di terzi con comunicazioni legali distinte o disciplinati da altri contratti, come indicato nel o nei file ThirdPartyNotices relativi al software.  </w:t>
      </w:r>
    </w:p>
    <w:p w:rsidR="00282039" w:rsidRPr="00282039" w:rsidRDefault="0054177A">
      <w:pPr>
        <w:pStyle w:val="Heading1"/>
        <w:widowControl w:val="0"/>
        <w:rPr>
          <w:b w:val="0"/>
          <w:sz w:val="20"/>
          <w:szCs w:val="20"/>
        </w:rPr>
      </w:pPr>
      <w:r>
        <w:rPr>
          <w:sz w:val="20"/>
          <w:szCs w:val="20"/>
        </w:rPr>
        <w:t xml:space="preserve">DATI.  </w:t>
      </w:r>
    </w:p>
    <w:p w:rsidR="0054177A" w:rsidRDefault="00282039" w:rsidP="00282039">
      <w:pPr>
        <w:pStyle w:val="Heading2"/>
        <w:rPr>
          <w:b w:val="0"/>
          <w:sz w:val="20"/>
          <w:szCs w:val="20"/>
        </w:rPr>
      </w:pPr>
      <w:r>
        <w:rPr>
          <w:sz w:val="20"/>
          <w:szCs w:val="20"/>
        </w:rPr>
        <w:t>Raccolta dei dati.</w:t>
      </w:r>
      <w:r>
        <w:rPr>
          <w:b w:val="0"/>
          <w:sz w:val="20"/>
          <w:szCs w:val="20"/>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  Nel software sono disponibili anche </w:t>
      </w:r>
      <w:r>
        <w:rPr>
          <w:b w:val="0"/>
          <w:color w:val="000000"/>
          <w:sz w:val="20"/>
          <w:szCs w:val="20"/>
        </w:rPr>
        <w:t>alcune funzionalità che potranno consentire al licenziatario e a Microsoft di raccogliere dati degli utenti delle applicazioni.</w:t>
      </w:r>
      <w:r>
        <w:rPr>
          <w:b w:val="0"/>
          <w:sz w:val="20"/>
          <w:szCs w:val="20"/>
        </w:rPr>
        <w:t xml:space="preserve"> Qualora il licenziatario utilizzi queste funzionalità, dovrà conformarsi alla legge applicabile, che prevede tra l’altro la fornitura di comunicazioni appropriate agli utenti delle applicazioni, e dovrà </w:t>
      </w:r>
      <w:r>
        <w:rPr>
          <w:b w:val="0"/>
          <w:color w:val="000000"/>
          <w:sz w:val="20"/>
          <w:szCs w:val="20"/>
        </w:rPr>
        <w:t>distribuire una copia dell’informativa sulla privacy di Microsoft a tali utenti. L’informativa sulla privacy di Microsoft è disponibile all’indirizzo</w:t>
      </w:r>
      <w:r>
        <w:rPr>
          <w:b w:val="0"/>
          <w:color w:val="000000"/>
        </w:rPr>
        <w:t xml:space="preserve"> </w:t>
      </w:r>
      <w:hyperlink r:id="rId9" w:history="1">
        <w:r>
          <w:rPr>
            <w:rStyle w:val="Hyperlink"/>
            <w:b w:val="0"/>
            <w:sz w:val="20"/>
            <w:szCs w:val="20"/>
          </w:rPr>
          <w:t>https://go.microsoft.com/fwlink/?LinkID=824704</w:t>
        </w:r>
      </w:hyperlink>
      <w:r>
        <w:rPr>
          <w:b w:val="0"/>
          <w:sz w:val="20"/>
          <w:szCs w:val="20"/>
        </w:rPr>
        <w:t>. Ulteriori informazioni sulla raccolta e il trattamento dei dati sono disponibili nella documentazione di supporto e nell’informativa sulla privacy di Microsoft. L’utilizzo del software da parte del licenziatario costituisce accettazione implicita di tali criteri.</w:t>
      </w:r>
    </w:p>
    <w:p w:rsidR="00282039" w:rsidRPr="00C45CAE" w:rsidRDefault="00282039" w:rsidP="00282039">
      <w:pPr>
        <w:pStyle w:val="Heading2"/>
        <w:rPr>
          <w:b w:val="0"/>
          <w:sz w:val="20"/>
          <w:szCs w:val="20"/>
        </w:rPr>
      </w:pPr>
      <w:r>
        <w:rPr>
          <w:sz w:val="20"/>
          <w:szCs w:val="20"/>
        </w:rPr>
        <w:t>Trattamento dei Dati Personali.</w:t>
      </w:r>
      <w:r>
        <w:rPr>
          <w:b w:val="0"/>
          <w:sz w:val="20"/>
          <w:szCs w:val="20"/>
        </w:rPr>
        <w:t xml:space="preserve"> Qualora Microsoft abbia la funzione di elaboratore principale o secondario dei dati personali relativi al software, farà sì che gli impegni nei confronti di tutte le società riportati nelle Condizioni del Regolamento Europeo per la Protezione dei Dati Personali delleCondizioni per l’Utilizzo dei Servizi Online entrino in vigore il 25 maggio 2018 (</w:t>
      </w:r>
      <w:r>
        <w:rPr>
          <w:b w:val="0"/>
        </w:rPr>
        <w:t xml:space="preserve"> </w:t>
      </w:r>
      <w:hyperlink r:id="rId10" w:history="1">
        <w:r>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Pr>
          <w:sz w:val="20"/>
          <w:szCs w:val="20"/>
        </w:rPr>
        <w:lastRenderedPageBreak/>
        <w:t>AMBITO DI VALIDITÀ DELLA LICENZA.</w:t>
      </w:r>
      <w:r>
        <w:rPr>
          <w:b w:val="0"/>
          <w:bCs w:val="0"/>
          <w:sz w:val="20"/>
          <w:szCs w:val="20"/>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rsidR="00F15EA7" w:rsidRPr="00C45CAE" w:rsidRDefault="00E47200">
      <w:pPr>
        <w:pStyle w:val="Bullet2"/>
        <w:widowControl w:val="0"/>
        <w:rPr>
          <w:rFonts w:eastAsia="SimSun"/>
          <w:sz w:val="20"/>
          <w:szCs w:val="20"/>
        </w:rPr>
      </w:pPr>
      <w:r>
        <w:rPr>
          <w:sz w:val="20"/>
          <w:szCs w:val="20"/>
        </w:rPr>
        <w:t>aggirare le limitazioni tecniche presenti nel software;</w:t>
      </w:r>
    </w:p>
    <w:p w:rsidR="00F15EA7" w:rsidRPr="005F767D" w:rsidRDefault="00E47200">
      <w:pPr>
        <w:pStyle w:val="Bullet2"/>
        <w:widowControl w:val="0"/>
        <w:rPr>
          <w:rFonts w:eastAsia="SimSun"/>
          <w:sz w:val="20"/>
          <w:szCs w:val="20"/>
        </w:rPr>
      </w:pPr>
      <w:r>
        <w:rPr>
          <w:sz w:val="20"/>
          <w:szCs w:val="20"/>
        </w:rPr>
        <w:t xml:space="preserve">decompilare o disassemblare il software, </w:t>
      </w:r>
      <w:r>
        <w:t>né in altro modo tentare di derivare il codice sorgente del software</w:t>
      </w:r>
      <w:r>
        <w:rPr>
          <w:sz w:val="20"/>
          <w:szCs w:val="20"/>
        </w:rPr>
        <w:t>, fatta eccezione e solo per i casi previsti da condizioni di licenza di terzi che disciplinano l’utilizzo di alcuni componenti open source che potrebbero essere inclusi nel software;</w:t>
      </w:r>
    </w:p>
    <w:p w:rsidR="00FD293A" w:rsidRPr="00C45CAE" w:rsidRDefault="00FD293A">
      <w:pPr>
        <w:pStyle w:val="Bullet2"/>
        <w:widowControl w:val="0"/>
        <w:rPr>
          <w:rFonts w:eastAsia="SimSun"/>
          <w:sz w:val="20"/>
          <w:szCs w:val="20"/>
        </w:rPr>
      </w:pPr>
      <w:r>
        <w:rPr>
          <w:sz w:val="20"/>
          <w:szCs w:val="20"/>
        </w:rPr>
        <w:t xml:space="preserve">rimuovere, ridurre al minimo, bloccare o modificare alcuna comunicazione di Microsoft o dei suoi fornitori relativamente al software; </w:t>
      </w:r>
    </w:p>
    <w:p w:rsidR="000E462E" w:rsidRPr="00C45CAE" w:rsidRDefault="000E462E">
      <w:pPr>
        <w:pStyle w:val="Bullet2"/>
        <w:widowControl w:val="0"/>
        <w:rPr>
          <w:rFonts w:eastAsia="SimSun"/>
          <w:sz w:val="20"/>
          <w:szCs w:val="20"/>
        </w:rPr>
      </w:pPr>
      <w:r>
        <w:rPr>
          <w:sz w:val="20"/>
          <w:szCs w:val="20"/>
        </w:rPr>
        <w:t>utilizzare il software in contrasto con la legge o</w:t>
      </w:r>
    </w:p>
    <w:p w:rsidR="00F15EA7" w:rsidRPr="00C45CAE" w:rsidRDefault="000E462E">
      <w:pPr>
        <w:pStyle w:val="Bullet2"/>
        <w:widowControl w:val="0"/>
        <w:rPr>
          <w:rFonts w:eastAsia="SimSun"/>
          <w:sz w:val="20"/>
          <w:szCs w:val="20"/>
        </w:rPr>
      </w:pPr>
      <w:r>
        <w:rPr>
          <w:sz w:val="20"/>
          <w:szCs w:val="20"/>
        </w:rPr>
        <w:t>condividere, pubblicare, noleggiare, concedere in locazione il software oppure fornirlo come soluzione ospitata autonoma utilizzabile da terzi né trasferire il software o il presente contratto a terzi.</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RESTRIZIONI ALL'ESPORTAZIONE.</w:t>
      </w:r>
      <w:r>
        <w:rPr>
          <w:b w:val="0"/>
          <w:bCs w:val="0"/>
          <w:sz w:val="20"/>
          <w:szCs w:val="20"/>
        </w:rPr>
        <w:t xml:space="preserve"> Il licenziatario dovrà conformarsi a tutte le leggi e a tutti i regolamenti nazionali e internazionali in materia di esportazione applicabili al software, che includono limitazioni su destinazioni, utenti finali e utilizzo finale. Per ulteriori informazioni sulle limitazioni all’esportazione, il licenziatario potrà visitare la pagina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SERVIZI DI SUPPORTO TECNICO. </w:t>
      </w:r>
      <w:r>
        <w:rPr>
          <w:b w:val="0"/>
          <w:bCs w:val="0"/>
          <w:sz w:val="20"/>
          <w:szCs w:val="20"/>
        </w:rPr>
        <w:t>Poiché il presente software viene fornito “com’è”, non è prevista l’erogazione di servizi di supporto tecnico da parte di Microsoft.</w:t>
      </w:r>
    </w:p>
    <w:p w:rsidR="00F15EA7" w:rsidRPr="00C45CAE" w:rsidRDefault="00E47200">
      <w:pPr>
        <w:pStyle w:val="Heading1"/>
        <w:widowControl w:val="0"/>
        <w:rPr>
          <w:rFonts w:eastAsia="SimSun"/>
          <w:b w:val="0"/>
          <w:bCs w:val="0"/>
          <w:sz w:val="20"/>
          <w:szCs w:val="20"/>
        </w:rPr>
      </w:pPr>
      <w:r>
        <w:rPr>
          <w:sz w:val="20"/>
          <w:szCs w:val="20"/>
        </w:rPr>
        <w:t>INTERO ACCORDO.</w:t>
      </w:r>
      <w:r>
        <w:rPr>
          <w:b w:val="0"/>
          <w:bCs w:val="0"/>
          <w:sz w:val="20"/>
          <w:szCs w:val="20"/>
        </w:rPr>
        <w:t xml:space="preserve"> Il presente contratto e le condizioni che disciplinano l'utilizzo dei supplementi, degli aggiornamenti, dei servizi basati su Internet e dei servizi di supporto tecnico utilizzati dal licenziatario costituiscono l'intero accordo relativo al software ed ai servizi di supporto tecnico.</w:t>
      </w:r>
    </w:p>
    <w:p w:rsidR="00F15EA7" w:rsidRPr="00C45CAE" w:rsidRDefault="00E47200">
      <w:pPr>
        <w:pStyle w:val="Heading1"/>
        <w:widowControl w:val="0"/>
        <w:ind w:left="360" w:hanging="360"/>
        <w:rPr>
          <w:rFonts w:eastAsia="SimSun"/>
          <w:sz w:val="20"/>
          <w:szCs w:val="20"/>
        </w:rPr>
      </w:pPr>
      <w:r>
        <w:rPr>
          <w:sz w:val="20"/>
          <w:szCs w:val="20"/>
        </w:rPr>
        <w:t xml:space="preserve">LEGGE APPLICABILE. </w:t>
      </w:r>
      <w:r>
        <w:rPr>
          <w:b w:val="0"/>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DIRITTI DEI CONSUMATORI, VARIAZIONI REGIONALI. </w:t>
      </w:r>
      <w:r>
        <w:rPr>
          <w:b w:val="0"/>
          <w:sz w:val="20"/>
          <w:szCs w:val="2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rsidR="00E400F3" w:rsidRPr="00E400F3" w:rsidRDefault="00E400F3" w:rsidP="00E400F3">
      <w:pPr>
        <w:pStyle w:val="Heading2"/>
        <w:numPr>
          <w:ilvl w:val="0"/>
          <w:numId w:val="15"/>
        </w:numPr>
        <w:rPr>
          <w:b w:val="0"/>
          <w:sz w:val="20"/>
          <w:szCs w:val="20"/>
        </w:rPr>
      </w:pPr>
      <w:r>
        <w:rPr>
          <w:sz w:val="20"/>
          <w:szCs w:val="20"/>
        </w:rPr>
        <w:t xml:space="preserve">Australia. </w:t>
      </w:r>
      <w:r>
        <w:rPr>
          <w:b w:val="0"/>
          <w:sz w:val="20"/>
          <w:szCs w:val="20"/>
        </w:rPr>
        <w:t>Il licenziatario è soggetto alle garanzie di legge previste dalla Australian Consumer Law e nessuna disposizione contenuta nel presente contratto influisce su tali diritti.</w:t>
      </w:r>
    </w:p>
    <w:p w:rsidR="00E400F3" w:rsidRPr="00E400F3" w:rsidRDefault="00E400F3" w:rsidP="00E400F3">
      <w:pPr>
        <w:pStyle w:val="Heading2"/>
        <w:numPr>
          <w:ilvl w:val="0"/>
          <w:numId w:val="15"/>
        </w:numPr>
        <w:rPr>
          <w:b w:val="0"/>
          <w:sz w:val="20"/>
          <w:szCs w:val="20"/>
        </w:rPr>
      </w:pPr>
      <w:r>
        <w:rPr>
          <w:sz w:val="20"/>
          <w:szCs w:val="20"/>
        </w:rPr>
        <w:t xml:space="preserve">Canada. </w:t>
      </w:r>
      <w:r>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E400F3" w:rsidRPr="00E400F3" w:rsidRDefault="00E400F3" w:rsidP="00E400F3">
      <w:pPr>
        <w:pStyle w:val="Heading2"/>
        <w:numPr>
          <w:ilvl w:val="0"/>
          <w:numId w:val="15"/>
        </w:numPr>
        <w:rPr>
          <w:b w:val="0"/>
          <w:sz w:val="20"/>
          <w:szCs w:val="20"/>
        </w:rPr>
      </w:pPr>
      <w:r>
        <w:rPr>
          <w:sz w:val="20"/>
          <w:szCs w:val="20"/>
        </w:rPr>
        <w:t>Germania e Austria</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Garanzia</w:t>
      </w:r>
      <w:r>
        <w:rPr>
          <w:sz w:val="20"/>
          <w:szCs w:val="20"/>
        </w:rPr>
        <w:t>. Il software validamente concesso in licenza funzionerà in sostanziale conformità a quanto descritto nel materiale Microsoft fornito con il software. Tuttavia, Microsoft non fornisce alcuna garanzia contrattuale in relazione al software concesso in licenza.</w:t>
      </w:r>
    </w:p>
    <w:p w:rsidR="00E400F3" w:rsidRPr="00E400F3" w:rsidRDefault="00E400F3" w:rsidP="00E400F3">
      <w:pPr>
        <w:ind w:left="717"/>
        <w:rPr>
          <w:sz w:val="20"/>
          <w:szCs w:val="20"/>
        </w:rPr>
      </w:pPr>
      <w:r>
        <w:rPr>
          <w:b/>
          <w:sz w:val="20"/>
          <w:szCs w:val="20"/>
        </w:rPr>
        <w:t>(ii)</w:t>
      </w:r>
      <w:r>
        <w:rPr>
          <w:sz w:val="20"/>
          <w:szCs w:val="20"/>
        </w:rPr>
        <w:tab/>
      </w:r>
      <w:r>
        <w:rPr>
          <w:b/>
          <w:sz w:val="20"/>
          <w:szCs w:val="20"/>
        </w:rPr>
        <w:t>Limitazione di responsabilità</w:t>
      </w:r>
      <w:r>
        <w:rPr>
          <w:sz w:val="20"/>
          <w:szCs w:val="20"/>
        </w:rPr>
        <w:t>. In caso di comportamento intenzionale, colpa grave, reclami basati sulla Legge in materia di Responsabilità Prodotto, così come in caso di morte o lesioni personali, Microsoft è responsabile in conformità alla legge imperativa.</w:t>
      </w:r>
    </w:p>
    <w:p w:rsidR="00E400F3" w:rsidRPr="00E400F3" w:rsidRDefault="00E400F3" w:rsidP="00E400F3">
      <w:pPr>
        <w:pStyle w:val="Heading1"/>
        <w:numPr>
          <w:ilvl w:val="0"/>
          <w:numId w:val="0"/>
        </w:numPr>
        <w:ind w:left="717"/>
        <w:rPr>
          <w:b w:val="0"/>
          <w:sz w:val="20"/>
          <w:szCs w:val="20"/>
        </w:rPr>
      </w:pPr>
      <w:r>
        <w:rPr>
          <w:b w:val="0"/>
          <w:sz w:val="20"/>
          <w:szCs w:val="20"/>
        </w:rPr>
        <w:lastRenderedPageBreak/>
        <w:t>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F15EA7" w:rsidRPr="00C45CAE" w:rsidRDefault="00E47200">
      <w:pPr>
        <w:pStyle w:val="Heading1"/>
        <w:rPr>
          <w:rFonts w:eastAsia="SimSun"/>
          <w:sz w:val="20"/>
          <w:szCs w:val="20"/>
        </w:rPr>
      </w:pPr>
      <w:r>
        <w:rPr>
          <w:sz w:val="20"/>
          <w:szCs w:val="20"/>
        </w:rPr>
        <w:t>ESCLUSIONE DI GARANZIE. IL SOFTWARE È CONCESSO IN LICENZA "COSÌ COM'È". IL LICENZIATARIO SI ASSUME OGNI RISCHIO DERIVANTE DALL'UTILIZZO DEL SOFTWARE. MICROSOFT NON RICONOSCE CONDIZIONI O GARANZIE ESPRESSE. NELLA MISURA MASSIMA CONSENTITA DALLA LEGGE LOCALE, MICROSOFT ESCLUDE EVENTUALI GARANZIE IMPLICITE DI COMMERCIABILITÀ (QUALITÀ NON INFERIORE ALLA MEDIA), ADEGUATEZZA PER UNO SCOPO SPECIFICO E NON VIOLAZIONE DI DIRITTI DI TERZI.</w:t>
      </w:r>
    </w:p>
    <w:p w:rsidR="00F15EA7" w:rsidRPr="00C45CAE" w:rsidRDefault="00E47200">
      <w:pPr>
        <w:pStyle w:val="Heading1"/>
        <w:rPr>
          <w:sz w:val="20"/>
          <w:szCs w:val="20"/>
        </w:rPr>
      </w:pPr>
      <w:r>
        <w:rPr>
          <w:sz w:val="20"/>
          <w:szCs w:val="20"/>
        </w:rPr>
        <w:t>LIMITAZIONE DI RESPONSABILITÀ ED ESCLUSIONE DI DANNI. IL LICENZIATARIO PUÒ RICHIEDERE A MICROSOFT E AI SUOI FORNITORI IL SOLO RISARCIMENTO PER I DANNI DIRETTI NEL LIMITE DI CINQUE DOLLARI (USD 5). IL LICENZIATARIO NON POTRÀ RICHIEDERE IL RISARCIMENTO PER EVENTUALI ALTRI DANNI, INCLUSI I DANNI CONSEQUENZIALI, SPECIALI, INDIRETTI O ACCIDENTALI O RELATIVI ALLA PERDITA DI PROFITTI.</w:t>
      </w:r>
    </w:p>
    <w:p w:rsidR="00F15EA7" w:rsidRPr="00C45CAE" w:rsidRDefault="00E47200" w:rsidP="0071730A">
      <w:pPr>
        <w:pStyle w:val="Body1"/>
        <w:widowControl w:val="0"/>
        <w:rPr>
          <w:rFonts w:eastAsia="SimSun"/>
          <w:sz w:val="20"/>
          <w:szCs w:val="20"/>
        </w:rPr>
      </w:pPr>
      <w:r>
        <w:rPr>
          <w:sz w:val="20"/>
          <w:szCs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F15EA7" w:rsidRDefault="00E47200">
      <w:pPr>
        <w:widowControl w:val="0"/>
        <w:ind w:left="360"/>
        <w:rPr>
          <w:rFonts w:eastAsia="SimSun"/>
          <w:sz w:val="20"/>
          <w:szCs w:val="20"/>
        </w:rPr>
      </w:pPr>
      <w:r>
        <w:rPr>
          <w:sz w:val="20"/>
          <w:szCs w:val="20"/>
        </w:rPr>
        <w:t>Tale limitazione si applica anche nel caso in cui Microsoft era informata o avrebbe dovuto essere informata della possibilità del verificarsi di tali danni. La limitazione o l’esclusione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w:t>
      </w:r>
      <w:r w:rsidR="00357122">
        <w:rPr>
          <w:sz w:val="20"/>
          <w:szCs w:val="20"/>
        </w:rPr>
        <w:t>ITA</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57122"/>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8AD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it-IT" w:eastAsia="en-US"/>
    </w:rPr>
  </w:style>
  <w:style w:type="character" w:customStyle="1" w:styleId="Body3Char">
    <w:name w:val="Body 3 Char"/>
    <w:basedOn w:val="DefaultParagraphFont"/>
    <w:uiPriority w:val="99"/>
    <w:rPr>
      <w:rFonts w:ascii="Tahoma" w:hAnsi="Tahoma" w:cs="Tahoma"/>
      <w:lang w:val="it-IT" w:eastAsia="en-US"/>
    </w:rPr>
  </w:style>
  <w:style w:type="character" w:customStyle="1" w:styleId="Body4Char">
    <w:name w:val="Body 4 Char"/>
    <w:basedOn w:val="DefaultParagraphFont"/>
    <w:uiPriority w:val="99"/>
    <w:rPr>
      <w:rFonts w:ascii="Tahoma" w:hAnsi="Tahoma" w:cs="Tahoma"/>
      <w:lang w:val="it-IT" w:eastAsia="en-US"/>
    </w:rPr>
  </w:style>
  <w:style w:type="character" w:customStyle="1" w:styleId="Body1Char">
    <w:name w:val="Body 1 Char"/>
    <w:basedOn w:val="DefaultParagraphFont"/>
    <w:uiPriority w:val="99"/>
    <w:rPr>
      <w:rFonts w:ascii="Tahoma" w:hAnsi="Tahoma" w:cs="Tahoma"/>
      <w:lang w:val="it-IT"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it-IT"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it-IT"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it-IT"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it-IT"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it-IT"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6D04-4A26-4D6F-BDA3-3D19E350DBF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28870</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