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EA7" w:rsidRPr="00C45CAE" w:rsidRDefault="00E47200">
      <w:pPr>
        <w:pStyle w:val="HeadingEULA"/>
        <w:widowControl w:val="0"/>
        <w:rPr>
          <w:rFonts w:eastAsia="SimSun"/>
          <w:sz w:val="20"/>
          <w:szCs w:val="20"/>
        </w:rPr>
      </w:pPr>
      <w:r>
        <w:rPr>
          <w:sz w:val="20"/>
          <w:szCs w:val="20"/>
        </w:rPr>
        <w:t>POSTANOWIENIA LICENCYJNE DOTYCZĄCE OPROGRAMOWANIA</w:t>
      </w:r>
    </w:p>
    <w:p w:rsidR="00F15EA7" w:rsidRPr="00C45CAE" w:rsidRDefault="00E47200">
      <w:pPr>
        <w:pStyle w:val="HeadingSoftwareTitle"/>
        <w:widowControl w:val="0"/>
        <w:rPr>
          <w:rFonts w:eastAsia="SimSun"/>
          <w:sz w:val="20"/>
          <w:szCs w:val="20"/>
        </w:rPr>
      </w:pPr>
      <w:r>
        <w:rPr>
          <w:sz w:val="20"/>
          <w:szCs w:val="20"/>
        </w:rPr>
        <w:t xml:space="preserve">MICROSOFT VISUAL STUDIO 2017: NARZĘDZIA, DODATKI oraz ROZSZERZENIA  </w:t>
      </w:r>
    </w:p>
    <w:p w:rsidR="00F15EA7" w:rsidRPr="00C45CAE" w:rsidRDefault="00E47200">
      <w:pPr>
        <w:pStyle w:val="Preamble"/>
        <w:widowControl w:val="0"/>
        <w:rPr>
          <w:rFonts w:eastAsia="SimSun"/>
          <w:b w:val="0"/>
          <w:bCs w:val="0"/>
          <w:sz w:val="20"/>
          <w:szCs w:val="20"/>
        </w:rPr>
      </w:pPr>
      <w:r>
        <w:rPr>
          <w:b w:val="0"/>
          <w:bCs w:val="0"/>
          <w:sz w:val="20"/>
          <w:szCs w:val="20"/>
        </w:rPr>
        <w:t>Niniejsze postanowienia licencyjne stanowią umowę między Microsoft Corporation (lub, w zależności od miejsca zamieszkania Licencjobiorcy, jednym z podmiotów stowarzyszonych Microsoft Corporation) a Licencjobiorcą. Mają one zastosowanie do wskazanego powyżej oprogramowania. Niniejsze postanowienia mają również zastosowanie do wszelkich usług i aktualizacji Microsoft dla niniejszego oprogramowania, z wyjątkiem tych, którym towarzyszą inne postanowienia.</w:t>
      </w:r>
    </w:p>
    <w:p w:rsidR="00F15EA7" w:rsidRPr="00C45CAE" w:rsidRDefault="00E47200">
      <w:pPr>
        <w:pStyle w:val="PreambleBorderAbove"/>
        <w:widowControl w:val="0"/>
        <w:rPr>
          <w:rFonts w:eastAsia="SimSun"/>
          <w:sz w:val="20"/>
          <w:szCs w:val="20"/>
        </w:rPr>
      </w:pPr>
      <w:r>
        <w:rPr>
          <w:sz w:val="20"/>
          <w:szCs w:val="20"/>
        </w:rPr>
        <w:t>JEŚLI LICENCJOBIORCA PRZESTRZEGA NINIEJSZYCH POSTANOWIEŃ LICENCYJNYCH, UZYSKUJE OPISANE PONIŻEJ PRAWA.</w:t>
      </w:r>
    </w:p>
    <w:p w:rsidR="00B406AF" w:rsidRPr="00C45CAE" w:rsidRDefault="00E47200">
      <w:pPr>
        <w:pStyle w:val="Heading1"/>
        <w:widowControl w:val="0"/>
        <w:rPr>
          <w:rFonts w:eastAsia="SimSun"/>
          <w:b w:val="0"/>
          <w:bCs w:val="0"/>
          <w:sz w:val="20"/>
          <w:szCs w:val="20"/>
        </w:rPr>
      </w:pPr>
      <w:r>
        <w:rPr>
          <w:sz w:val="20"/>
          <w:szCs w:val="20"/>
        </w:rPr>
        <w:t xml:space="preserve">PRAWA DO INSTALACJI I UŻYWANIA. </w:t>
      </w:r>
    </w:p>
    <w:p w:rsidR="00F15EA7" w:rsidRPr="00C45CAE" w:rsidRDefault="00E47200" w:rsidP="00B23DFB">
      <w:pPr>
        <w:pStyle w:val="Heading2"/>
        <w:numPr>
          <w:ilvl w:val="0"/>
          <w:numId w:val="0"/>
        </w:numPr>
        <w:ind w:left="357"/>
        <w:rPr>
          <w:rStyle w:val="Body2Char"/>
          <w:rFonts w:eastAsia="SimSun"/>
          <w:b w:val="0"/>
          <w:bCs w:val="0"/>
          <w:sz w:val="20"/>
          <w:szCs w:val="20"/>
        </w:rPr>
      </w:pPr>
      <w:r>
        <w:rPr>
          <w:rStyle w:val="Body2Char"/>
          <w:b w:val="0"/>
          <w:bCs w:val="0"/>
          <w:sz w:val="20"/>
          <w:szCs w:val="20"/>
        </w:rPr>
        <w:t>Licencjobiorca może dokonać instalacji i korzystać z dowolnej liczby kopii oprogramowania.</w:t>
      </w:r>
    </w:p>
    <w:p w:rsidR="0054177A" w:rsidRPr="00C45CAE" w:rsidRDefault="0054177A">
      <w:pPr>
        <w:pStyle w:val="Heading1"/>
        <w:widowControl w:val="0"/>
        <w:rPr>
          <w:rStyle w:val="Body2Char"/>
          <w:rFonts w:eastAsia="SimSun"/>
          <w:b w:val="0"/>
          <w:bCs w:val="0"/>
          <w:sz w:val="20"/>
          <w:szCs w:val="20"/>
        </w:rPr>
      </w:pPr>
      <w:r>
        <w:rPr>
          <w:sz w:val="20"/>
          <w:szCs w:val="20"/>
        </w:rPr>
        <w:t>POSTANOWIENIA DOTYCZĄCE POSZCZEGÓLNYCH SKŁADNIKÓW.</w:t>
      </w:r>
    </w:p>
    <w:p w:rsidR="00585893" w:rsidRPr="00A44DF6" w:rsidRDefault="00585893" w:rsidP="0054177A">
      <w:pPr>
        <w:pStyle w:val="Heading2"/>
        <w:rPr>
          <w:rFonts w:eastAsia="SimSun"/>
          <w:b w:val="0"/>
          <w:sz w:val="20"/>
          <w:szCs w:val="20"/>
        </w:rPr>
      </w:pPr>
      <w:r>
        <w:rPr>
          <w:sz w:val="20"/>
          <w:szCs w:val="20"/>
        </w:rPr>
        <w:t xml:space="preserve">Narzędzia. </w:t>
      </w:r>
      <w:r>
        <w:rPr>
          <w:b w:val="0"/>
          <w:sz w:val="20"/>
          <w:szCs w:val="20"/>
        </w:rPr>
        <w:t xml:space="preserve">Oprogramowanie może zawierać niektóre składniki wymienione na liście narzędzi dostępnej pod adresem </w:t>
      </w:r>
      <w:hyperlink r:id="rId8" w:history="1">
        <w:r>
          <w:rPr>
            <w:rStyle w:val="Hyperlink"/>
            <w:b w:val="0"/>
            <w:sz w:val="20"/>
            <w:szCs w:val="20"/>
          </w:rPr>
          <w:t>https://go.microsoft.com/fwlink/?linkid=823097</w:t>
        </w:r>
      </w:hyperlink>
      <w:r>
        <w:rPr>
          <w:b w:val="0"/>
          <w:sz w:val="20"/>
          <w:szCs w:val="20"/>
        </w:rPr>
        <w:t xml:space="preserve">.   Licencjobiorca może dokonywać kopiowania i instalacji tych narzędzi, o ile stanowią one część oprogramowania, na własnych urządzeniach w celu debugowania i wdrażania aplikacji oraz baz danych, które Licencjobiorca opracował przy użyciu oprogramowania. </w:t>
      </w:r>
      <w:r>
        <w:rPr>
          <w:b w:val="0"/>
          <w:bCs w:val="0"/>
          <w:sz w:val="20"/>
          <w:szCs w:val="20"/>
        </w:rPr>
        <w:t>Należy pamiętać, że: narzędzia przeznaczone są do użytku tymczasowego; Microsoft może nie być w stanie dokonać naprawy lub aktualizacji danego narzędzia oddzielnie od reszty oprogramowania; niektóre narzędzia z definicji mogą umożliwiać osobom trzecim dostęp do urządzeń, na których zostały zainstalowane. Dlatego po zakończeniu operacji debugowania lub wdrażania aplikacji i bazy danych zaleca się usunięcie wszystkich zainstalowanych narzędzi.  Microsoft nie ponosi odpowiedzialności za używanie lub uzyskiwanie przez osoby trzecie dostępu do Narzędzi zainstalowanych przez Licencjobiorcę na dowolnym urządzeniu</w:t>
      </w:r>
      <w:r>
        <w:rPr>
          <w:b w:val="0"/>
          <w:sz w:val="20"/>
          <w:szCs w:val="20"/>
        </w:rPr>
        <w:t>.</w:t>
      </w:r>
    </w:p>
    <w:p w:rsidR="00A44DF6" w:rsidRPr="00C45CAE" w:rsidRDefault="00A44DF6" w:rsidP="0054177A">
      <w:pPr>
        <w:pStyle w:val="Heading2"/>
        <w:rPr>
          <w:rFonts w:eastAsia="SimSun"/>
          <w:b w:val="0"/>
          <w:sz w:val="20"/>
          <w:szCs w:val="20"/>
        </w:rPr>
      </w:pPr>
      <w:r>
        <w:t>Narzędzia kompilacji.</w:t>
      </w:r>
      <w:r>
        <w:rPr>
          <w:b w:val="0"/>
        </w:rPr>
        <w:t xml:space="preserve">  Oprogramowanie może obejmować narzędzia kompilacji, do których mają zastosowanie określone warunki używania.   Jeżeli chodzi o narzędzia kompilacji, Licencjobiorca może kopiować pliki z oprogramowania i instalować je na swoich urządzeniach z daną kompilacją, w tym na urządzeniach fizycznych oraz maszynach wirtualnych lub w ramach kontenerów na tych maszynach, bez względu na to, czy maszyny te są lokalne czy zdalne, o ile znajdują się one w posiadaniu Licencjobiorcy, są hostowane za na platformie Azure przez Licencjobiorcę lub są przeznaczone wyłącznie do użytku Licencjobiorcy (łącznie „Urządzenia z Kompilacją”).  Licencjobiorca i inni użytkownicy w jego organizacji mogą używać </w:t>
      </w:r>
      <w:r>
        <w:rPr>
          <w:b w:val="0"/>
          <w:bCs w:val="0"/>
        </w:rPr>
        <w:t>tych plików na Urządzeniach z Kompilacją wyłącznie w celu kompilowania, tworzenia i weryfikowania aplikacji oraz uruchamiania testów jakości i wydajności tych aplikacji w ramach procesu kompilacji.  Termin „aplikacje” oznacza aplikacje opracowane przez Licencjobiorcę i innych użytkowników w jego organizacji objętych stosowną licencją na używanie oprogramowania.</w:t>
      </w:r>
    </w:p>
    <w:p w:rsidR="0054177A" w:rsidRPr="00C45CAE" w:rsidRDefault="0054177A" w:rsidP="0054177A">
      <w:pPr>
        <w:pStyle w:val="Heading2"/>
        <w:rPr>
          <w:rFonts w:eastAsia="SimSun"/>
          <w:b w:val="0"/>
          <w:sz w:val="20"/>
          <w:szCs w:val="20"/>
        </w:rPr>
      </w:pPr>
      <w:r>
        <w:rPr>
          <w:sz w:val="20"/>
          <w:szCs w:val="20"/>
        </w:rPr>
        <w:t xml:space="preserve">Platformy Microsoft.  </w:t>
      </w:r>
      <w:r>
        <w:rPr>
          <w:b w:val="0"/>
          <w:sz w:val="20"/>
          <w:szCs w:val="20"/>
        </w:rPr>
        <w:t>Oprogramowanie może zawierać składniki pochodzące z Microsoft Windows; Microsoft Windows Server; Microsoft SQL Server; Microsoft Exchange; Microsoft Office i Microsoft SharePoint. Takie składniki podlegają odrębnym umowom i stosownym zasadom udzielania wsparcia w zakresie produktów, zgodnie z opisem w</w:t>
      </w:r>
      <w:r>
        <w:rPr>
          <w:rFonts w:ascii="Garamond" w:hAnsi="Garamond"/>
          <w:b w:val="0"/>
          <w:color w:val="002060"/>
          <w:sz w:val="20"/>
          <w:szCs w:val="20"/>
        </w:rPr>
        <w:t xml:space="preserve"> </w:t>
      </w:r>
      <w:r>
        <w:rPr>
          <w:b w:val="0"/>
          <w:sz w:val="20"/>
          <w:szCs w:val="20"/>
        </w:rPr>
        <w:t>folderze „Licencje” Microsoft dołączonym do oprogramowania, z zastrzeżeniem, że jeśli postanowienia licencyjne dotyczące tych składników umieszczono także w katalogu instalacyjnym, to takie postanowienia mają wówczas charakter nadrzędny.</w:t>
      </w:r>
    </w:p>
    <w:p w:rsidR="0011022C" w:rsidRDefault="0011022C" w:rsidP="0011022C">
      <w:pPr>
        <w:pStyle w:val="Heading2"/>
        <w:rPr>
          <w:b w:val="0"/>
          <w:sz w:val="20"/>
          <w:szCs w:val="20"/>
        </w:rPr>
      </w:pPr>
      <w:r>
        <w:rPr>
          <w:sz w:val="20"/>
          <w:szCs w:val="20"/>
        </w:rPr>
        <w:t xml:space="preserve">Składniki pochodzące od osób trzecich.  </w:t>
      </w:r>
      <w:r>
        <w:rPr>
          <w:b w:val="0"/>
          <w:sz w:val="20"/>
          <w:szCs w:val="20"/>
        </w:rPr>
        <w:t xml:space="preserve">Oprogramowanie może zawierać składniki pochodzące od osób trzecich, objęte odrębnymi informacjami prawnymi lub podlegające innym umowom, zgodnie z ewentualnym opisem w plikach ThirdPartyNotices dołączonych do oprogramowania.  </w:t>
      </w:r>
    </w:p>
    <w:p w:rsidR="00282039" w:rsidRPr="00282039" w:rsidRDefault="0054177A">
      <w:pPr>
        <w:pStyle w:val="Heading1"/>
        <w:widowControl w:val="0"/>
        <w:rPr>
          <w:b w:val="0"/>
          <w:sz w:val="20"/>
          <w:szCs w:val="20"/>
        </w:rPr>
      </w:pPr>
      <w:r>
        <w:rPr>
          <w:sz w:val="20"/>
          <w:szCs w:val="20"/>
        </w:rPr>
        <w:t xml:space="preserve">DANE.  </w:t>
      </w:r>
    </w:p>
    <w:p w:rsidR="0054177A" w:rsidRDefault="00282039" w:rsidP="00282039">
      <w:pPr>
        <w:pStyle w:val="Heading2"/>
        <w:rPr>
          <w:b w:val="0"/>
          <w:sz w:val="20"/>
          <w:szCs w:val="20"/>
        </w:rPr>
      </w:pPr>
      <w:r>
        <w:rPr>
          <w:sz w:val="20"/>
          <w:szCs w:val="20"/>
        </w:rPr>
        <w:t>Gromadzenie danych.</w:t>
      </w:r>
      <w:r>
        <w:rPr>
          <w:b w:val="0"/>
          <w:sz w:val="20"/>
          <w:szCs w:val="20"/>
        </w:rPr>
        <w:t xml:space="preserve"> Oprogramowanie może gromadzić informacje o Licencjobiorcy i sposobie, w jaki używa on oprogramowania, a także przesyłać takie informacje do Microsoft. Microsoft może wykorzystywać te informacje w celu świadczenia usług oraz w celu ulepszenia produktów i usług Microsoft.  Licencjobiorca może zrezygnować z wielu scenariuszy (ale nie wszystkich), jak opisano w dokumentacji produktu.  Istnieją również </w:t>
      </w:r>
      <w:r>
        <w:rPr>
          <w:b w:val="0"/>
          <w:color w:val="000000"/>
          <w:sz w:val="20"/>
          <w:szCs w:val="20"/>
        </w:rPr>
        <w:t>pewne funkcje oprogramowania, które mogą umożliwiać Licencjobiorcy i Microsoft zbieranie danych od użytkowników aplikacji Licencjobiorcy.</w:t>
      </w:r>
      <w:r>
        <w:rPr>
          <w:b w:val="0"/>
          <w:sz w:val="20"/>
          <w:szCs w:val="20"/>
        </w:rPr>
        <w:t xml:space="preserve"> Jeśli Licencjobiorca używa tych funkcji, musi przestrzegać przepisów prawa właściwego, w tym stosownie powiadamiać użytkowników aplikacji Licencjobiorcy o tych działaniach, a także udostępnić im kopię przyjętego przez Microsoft oświadczenia o ochronie prywatności.</w:t>
      </w:r>
      <w:r>
        <w:rPr>
          <w:b w:val="0"/>
          <w:color w:val="000000"/>
          <w:sz w:val="20"/>
          <w:szCs w:val="20"/>
        </w:rPr>
        <w:t xml:space="preserve"> Treść oświadczenia Microsoft o ochronie prywatności można znaleźć pod adresem</w:t>
      </w:r>
      <w:r>
        <w:rPr>
          <w:b w:val="0"/>
          <w:color w:val="000000"/>
        </w:rPr>
        <w:t xml:space="preserve"> </w:t>
      </w:r>
      <w:hyperlink r:id="rId9" w:history="1">
        <w:r>
          <w:rPr>
            <w:rStyle w:val="Hyperlink"/>
            <w:b w:val="0"/>
            <w:sz w:val="20"/>
            <w:szCs w:val="20"/>
          </w:rPr>
          <w:t>https://go.microsoft.com/fwlink/?LinkID=824704</w:t>
        </w:r>
      </w:hyperlink>
      <w:r>
        <w:rPr>
          <w:b w:val="0"/>
          <w:sz w:val="20"/>
          <w:szCs w:val="20"/>
        </w:rPr>
        <w:t>. Więcej informacji na temat zbierania i używania danych można znaleźć w dokumentacji pomocy i oświadczeniu Microsoft o ochronie prywatności. Używanie przez Licencjobiorcę oprogramowania oznacza zgodę Licencjobiorcy na takie działania.</w:t>
      </w:r>
    </w:p>
    <w:p w:rsidR="00282039" w:rsidRPr="00C45CAE" w:rsidRDefault="00282039" w:rsidP="00282039">
      <w:pPr>
        <w:pStyle w:val="Heading2"/>
        <w:rPr>
          <w:b w:val="0"/>
          <w:sz w:val="20"/>
          <w:szCs w:val="20"/>
        </w:rPr>
      </w:pPr>
      <w:r>
        <w:rPr>
          <w:sz w:val="20"/>
          <w:szCs w:val="20"/>
        </w:rPr>
        <w:lastRenderedPageBreak/>
        <w:t>Przetwarzanie danych osobowych.</w:t>
      </w:r>
      <w:r>
        <w:rPr>
          <w:b w:val="0"/>
          <w:sz w:val="20"/>
          <w:szCs w:val="20"/>
        </w:rPr>
        <w:t xml:space="preserve"> W zakresie, w jakim Microsoft jest podmiotem przetwarzającym lub podwykonawcą przetwarzania danych osobowych w związku z oprogramowaniem, Microsoft podejmuje zobowiązania wynikające z przepisów ogólnego rozporządzenia o ochronie danych przyjętego przez UE, określone w Postanowieniach dotyczących Usług Online, które można znaleźć pod adresem </w:t>
      </w:r>
      <w:hyperlink r:id="rId10" w:history="1">
        <w:r>
          <w:rPr>
            <w:rStyle w:val="Hyperlink"/>
            <w:b w:val="0"/>
          </w:rPr>
          <w:t>http://go.microsoft.com/?linkid=9840733</w:t>
        </w:r>
      </w:hyperlink>
      <w:r>
        <w:rPr>
          <w:b w:val="0"/>
          <w:sz w:val="20"/>
          <w:szCs w:val="20"/>
        </w:rPr>
        <w:t xml:space="preserve"> w odniesieniu do wszystkich klientów począwszy od dnia 25 maja 2018 r.</w:t>
      </w:r>
    </w:p>
    <w:p w:rsidR="00F15EA7" w:rsidRPr="00C45CAE" w:rsidRDefault="00E47200">
      <w:pPr>
        <w:pStyle w:val="Heading1"/>
        <w:widowControl w:val="0"/>
        <w:rPr>
          <w:rFonts w:eastAsia="SimSun"/>
          <w:b w:val="0"/>
          <w:bCs w:val="0"/>
          <w:sz w:val="20"/>
          <w:szCs w:val="20"/>
        </w:rPr>
      </w:pPr>
      <w:r>
        <w:rPr>
          <w:sz w:val="20"/>
          <w:szCs w:val="20"/>
        </w:rPr>
        <w:t>ZAKRES LICENCJI.</w:t>
      </w:r>
      <w:r>
        <w:rPr>
          <w:b w:val="0"/>
          <w:bCs w:val="0"/>
          <w:sz w:val="20"/>
          <w:szCs w:val="20"/>
        </w:rPr>
        <w:t xml:space="preserve"> Oprogramowanie jest licencjonowane, a nie sprzedawane. Na mocy niniejszej umowy Licencjobiorca uzyskuje tylko niektóre prawa do używania oprogramowania. Microsoft zastrzega sobie wszystkie pozostałe prawa. Licencjobiorca może korzystać z oprogramowania tylko w sposób wyraźnie dozwolony w niniejszej umowie. Nie dotyczy to sytuacji, w których pomimo niniejszego ograniczenia na mocy prawa właściwego przysługują mu dodatkowe uprawnienia. W takich przypadkach Licencjobiorca musi przestrzegać wszelkich ograniczeń technicznych oprogramowania zapewniających, że z oprogramowania będzie można korzystać wyłącznie w określony sposób. Licencjobiorca nie może</w:t>
      </w:r>
    </w:p>
    <w:p w:rsidR="00F15EA7" w:rsidRPr="00C45CAE" w:rsidRDefault="00E47200">
      <w:pPr>
        <w:pStyle w:val="Bullet2"/>
        <w:widowControl w:val="0"/>
        <w:rPr>
          <w:rFonts w:eastAsia="SimSun"/>
          <w:sz w:val="20"/>
          <w:szCs w:val="20"/>
        </w:rPr>
      </w:pPr>
      <w:r>
        <w:rPr>
          <w:sz w:val="20"/>
          <w:szCs w:val="20"/>
        </w:rPr>
        <w:t>obchodzić ograniczeń technicznych oprogramowania;</w:t>
      </w:r>
    </w:p>
    <w:p w:rsidR="00F15EA7" w:rsidRPr="005F767D" w:rsidRDefault="00E47200">
      <w:pPr>
        <w:pStyle w:val="Bullet2"/>
        <w:widowControl w:val="0"/>
        <w:rPr>
          <w:rFonts w:eastAsia="SimSun"/>
          <w:sz w:val="20"/>
          <w:szCs w:val="20"/>
        </w:rPr>
      </w:pPr>
      <w:r>
        <w:rPr>
          <w:sz w:val="20"/>
          <w:szCs w:val="20"/>
        </w:rPr>
        <w:t xml:space="preserve">odtwarzać, dekompilować ani deasemblować oprogramowania, </w:t>
      </w:r>
      <w:r>
        <w:t>ani w inny sposób podejmować prób pozyskania kodu źródłowego z oprogramowania,</w:t>
      </w:r>
      <w:r>
        <w:rPr>
          <w:sz w:val="20"/>
          <w:szCs w:val="20"/>
        </w:rPr>
        <w:t xml:space="preserve"> chyba że w przypadku i tylko w takim zakresie, w jakim jest to wymagane na mocy ustanowionych przez osoby trzecie postanowień licencyjnych mających zastosowanie do używania określonych składników podlegających licencji open source, które mogą być dołączone do oprogramowania;</w:t>
      </w:r>
    </w:p>
    <w:p w:rsidR="00FD293A" w:rsidRPr="00C45CAE" w:rsidRDefault="00FD293A">
      <w:pPr>
        <w:pStyle w:val="Bullet2"/>
        <w:widowControl w:val="0"/>
        <w:rPr>
          <w:rFonts w:eastAsia="SimSun"/>
          <w:sz w:val="20"/>
          <w:szCs w:val="20"/>
        </w:rPr>
      </w:pPr>
      <w:r>
        <w:rPr>
          <w:sz w:val="20"/>
          <w:szCs w:val="20"/>
        </w:rPr>
        <w:t xml:space="preserve">usuwać, minimalizować, blokować ani modyfikować żadnych umieszczonych w oprogramowaniu powiadomień Microsoft ani dostawców Microsoft; </w:t>
      </w:r>
    </w:p>
    <w:p w:rsidR="000E462E" w:rsidRPr="00C45CAE" w:rsidRDefault="000E462E">
      <w:pPr>
        <w:pStyle w:val="Bullet2"/>
        <w:widowControl w:val="0"/>
        <w:rPr>
          <w:rFonts w:eastAsia="SimSun"/>
          <w:sz w:val="20"/>
          <w:szCs w:val="20"/>
        </w:rPr>
      </w:pPr>
      <w:r>
        <w:rPr>
          <w:sz w:val="20"/>
          <w:szCs w:val="20"/>
        </w:rPr>
        <w:t>używać oprogramowania w sposób niezgodny z prawem lub</w:t>
      </w:r>
    </w:p>
    <w:p w:rsidR="00F15EA7" w:rsidRPr="00C45CAE" w:rsidRDefault="000E462E">
      <w:pPr>
        <w:pStyle w:val="Bullet2"/>
        <w:widowControl w:val="0"/>
        <w:rPr>
          <w:rFonts w:eastAsia="SimSun"/>
          <w:sz w:val="20"/>
          <w:szCs w:val="20"/>
        </w:rPr>
      </w:pPr>
      <w:r>
        <w:rPr>
          <w:sz w:val="20"/>
          <w:szCs w:val="20"/>
        </w:rPr>
        <w:t>udostępniać, publikować ani wynajmować oprogramowania, dostarczać go w postaci samodzielnego hostowanego rozwiązania w celu używania go przez inne osoby ani przenosić tego oprogramowania lub niniejszej umowy na osobę trzecią.</w:t>
      </w:r>
    </w:p>
    <w:p w:rsidR="00F15EA7" w:rsidRPr="00C45CAE" w:rsidRDefault="00E47200">
      <w:pPr>
        <w:pStyle w:val="Heading1"/>
        <w:widowControl w:val="0"/>
        <w:rPr>
          <w:rStyle w:val="Hyperlink"/>
          <w:rFonts w:eastAsia="SimSun" w:cs="Tahoma"/>
          <w:b w:val="0"/>
          <w:bCs w:val="0"/>
          <w:color w:val="auto"/>
          <w:sz w:val="20"/>
          <w:szCs w:val="20"/>
          <w:u w:val="none"/>
        </w:rPr>
      </w:pPr>
      <w:r>
        <w:rPr>
          <w:sz w:val="20"/>
          <w:szCs w:val="20"/>
        </w:rPr>
        <w:t>OGRANICZENIA EKSPORTOWE.</w:t>
      </w:r>
      <w:r>
        <w:rPr>
          <w:b w:val="0"/>
          <w:bCs w:val="0"/>
          <w:sz w:val="20"/>
          <w:szCs w:val="20"/>
        </w:rPr>
        <w:t xml:space="preserve"> Licencjobiorca musi przestrzegać wszelkich krajowych i międzynarodowych przepisów prawa eksportowego mających zastosowanie do oprogramowania, które obejmują ograniczenia dotyczące kraju przeznaczenia, użytkowników końcowych i końcowego użycia. Więcej informacji na temat ograniczeń eksportowych można znaleźć na stronie</w:t>
      </w:r>
      <w:hyperlink r:id="rId11" w:history="1">
        <w:r>
          <w:rPr>
            <w:rStyle w:val="Hyperlink"/>
            <w:b w:val="0"/>
            <w:bCs w:val="0"/>
            <w:sz w:val="20"/>
            <w:szCs w:val="20"/>
          </w:rPr>
          <w:t>www.microsoft.com/exporting</w:t>
        </w:r>
      </w:hyperlink>
      <w:r>
        <w:rPr>
          <w:b w:val="0"/>
          <w:bCs w:val="0"/>
          <w:sz w:val="20"/>
          <w:szCs w:val="20"/>
        </w:rPr>
        <w:t xml:space="preserve">. </w:t>
      </w:r>
    </w:p>
    <w:p w:rsidR="00F15EA7" w:rsidRPr="00C45CAE" w:rsidRDefault="00E47200">
      <w:pPr>
        <w:pStyle w:val="Heading1"/>
        <w:widowControl w:val="0"/>
        <w:rPr>
          <w:rFonts w:eastAsia="SimSun"/>
          <w:b w:val="0"/>
          <w:bCs w:val="0"/>
          <w:sz w:val="20"/>
          <w:szCs w:val="20"/>
        </w:rPr>
      </w:pPr>
      <w:r>
        <w:rPr>
          <w:sz w:val="20"/>
          <w:szCs w:val="20"/>
        </w:rPr>
        <w:t xml:space="preserve">Usługi pomocy technicznej. </w:t>
      </w:r>
      <w:r>
        <w:rPr>
          <w:b w:val="0"/>
          <w:bCs w:val="0"/>
          <w:sz w:val="20"/>
          <w:szCs w:val="20"/>
        </w:rPr>
        <w:t>Niniejsze oprogramowanie jest udostępniane Licencjobiorcy w stanie „takim, w jakim jest”, w związku z czym Microsoft może nie świadczyć związanych z tym oprogramowaniem usług pomocy technicznej.</w:t>
      </w:r>
    </w:p>
    <w:p w:rsidR="00F15EA7" w:rsidRPr="00C45CAE" w:rsidRDefault="00E47200">
      <w:pPr>
        <w:pStyle w:val="Heading1"/>
        <w:widowControl w:val="0"/>
        <w:rPr>
          <w:rFonts w:eastAsia="SimSun"/>
          <w:b w:val="0"/>
          <w:bCs w:val="0"/>
          <w:sz w:val="20"/>
          <w:szCs w:val="20"/>
        </w:rPr>
      </w:pPr>
      <w:r>
        <w:rPr>
          <w:sz w:val="20"/>
          <w:szCs w:val="20"/>
        </w:rPr>
        <w:t>CAŁOŚĆ UMOWY.</w:t>
      </w:r>
      <w:r>
        <w:rPr>
          <w:b w:val="0"/>
          <w:bCs w:val="0"/>
          <w:sz w:val="20"/>
          <w:szCs w:val="20"/>
        </w:rPr>
        <w:t xml:space="preserve"> Niniejsza umowa wraz ze wszystkimi postanowieniami dotyczącymi uzupełnień, aktualizacji, usług internetowych i usług pomocy technicznej, z których korzysta Licencjobiorca, stanowią całość umowy dotyczącej oprogramowania i usług pomocy technicznej.</w:t>
      </w:r>
    </w:p>
    <w:p w:rsidR="00F15EA7" w:rsidRPr="00C45CAE" w:rsidRDefault="00E47200">
      <w:pPr>
        <w:pStyle w:val="Heading1"/>
        <w:widowControl w:val="0"/>
        <w:ind w:left="360" w:hanging="360"/>
        <w:rPr>
          <w:rFonts w:eastAsia="SimSun"/>
          <w:sz w:val="20"/>
          <w:szCs w:val="20"/>
        </w:rPr>
      </w:pPr>
      <w:r>
        <w:rPr>
          <w:sz w:val="20"/>
          <w:szCs w:val="20"/>
        </w:rPr>
        <w:t xml:space="preserve">PRAWO WŁAŚCIWE </w:t>
      </w:r>
      <w:r>
        <w:rPr>
          <w:b w:val="0"/>
          <w:sz w:val="20"/>
          <w:szCs w:val="20"/>
        </w:rPr>
        <w:t>Jeśli Licencjobiorca nabył oprogramowanie w Stanach Zjednoczonych, prawem właściwym dla wykładni postanowień niniejszej umowy i rozpatrywania roszczeń z tytułu ich naruszenia jest prawo stanu Waszyngton, a do wszelkich innych roszczeń mają zastosowanie prawa stanu, w którym mieszka Licencjobiorca. Jeśli Licencjobiorca nabył oprogramowanie w innym kraju, prawem właściwym dla wykładni niniejszej umowy jest prawo obowiązujące w tym kraju.</w:t>
      </w:r>
    </w:p>
    <w:p w:rsidR="00E400F3" w:rsidRPr="00E400F3" w:rsidRDefault="00E400F3" w:rsidP="00E400F3">
      <w:pPr>
        <w:pStyle w:val="Heading1"/>
        <w:tabs>
          <w:tab w:val="clear" w:pos="360"/>
          <w:tab w:val="num" w:pos="540"/>
        </w:tabs>
        <w:ind w:left="360" w:hanging="360"/>
        <w:rPr>
          <w:b w:val="0"/>
          <w:sz w:val="20"/>
          <w:szCs w:val="20"/>
        </w:rPr>
      </w:pPr>
      <w:r>
        <w:rPr>
          <w:sz w:val="20"/>
          <w:szCs w:val="20"/>
        </w:rPr>
        <w:t xml:space="preserve">PRAWA KONSUMENTA — RÓŻNICE REGIONALNE. </w:t>
      </w:r>
      <w:r>
        <w:rPr>
          <w:b w:val="0"/>
          <w:sz w:val="20"/>
          <w:szCs w:val="20"/>
        </w:rPr>
        <w:t>W niniejszej umowie zostały przedstawione niektóre z praw przysługujących stronom. Licencjobiorcy mogą przysługiwać inne uprawnienia, w tym uprawnienia konsumenta, na mocy przepisów prawa obowiązujących w stanie lub kraju Licencjobiorcy. Niezależnie od charakteru relacji, jakie Licencjobiorca utrzymuje z Microsoft, Licencjobiorcy mogą też przysługiwać określone uprawnienia względem strony, od której nabył oprogramowanie. Niniejsza umowa nie zmienia tych innych uprawnień, jeśli przepisy prawa przysługujące Licencjobiorcy na mocy ustawodawstwa stanowego lub krajowego nie zezwalają na takie zmiany. Na przykład, jeśli Licencjobiorca nabył oprogramowanie w jednym z poniższych regionów lub w przypadku obowiązywania obowiązkowego prawa krajowego, wtedy Licencjobiorca stosuje się do poniższych postanowień:</w:t>
      </w:r>
    </w:p>
    <w:p w:rsidR="00E400F3" w:rsidRPr="00E400F3" w:rsidRDefault="00E400F3" w:rsidP="00E400F3">
      <w:pPr>
        <w:pStyle w:val="Heading2"/>
        <w:numPr>
          <w:ilvl w:val="0"/>
          <w:numId w:val="15"/>
        </w:numPr>
        <w:rPr>
          <w:b w:val="0"/>
          <w:sz w:val="20"/>
          <w:szCs w:val="20"/>
        </w:rPr>
      </w:pPr>
      <w:r>
        <w:rPr>
          <w:sz w:val="20"/>
          <w:szCs w:val="20"/>
        </w:rPr>
        <w:t xml:space="preserve">Australia. </w:t>
      </w:r>
      <w:r>
        <w:rPr>
          <w:b w:val="0"/>
          <w:sz w:val="20"/>
          <w:szCs w:val="20"/>
        </w:rPr>
        <w:t>Australijska ustawa o ochronie konsumentów (Australian Consumer Law) przyznaje Licencjobiorcy określone gwarancje i żadne z zawartych w tej umowie postanowień nie ma na celu ograniczenia tych uprawnień.</w:t>
      </w:r>
    </w:p>
    <w:p w:rsidR="00E400F3" w:rsidRPr="00E400F3" w:rsidRDefault="00E400F3" w:rsidP="00E400F3">
      <w:pPr>
        <w:pStyle w:val="Heading2"/>
        <w:numPr>
          <w:ilvl w:val="0"/>
          <w:numId w:val="15"/>
        </w:numPr>
        <w:rPr>
          <w:b w:val="0"/>
          <w:sz w:val="20"/>
          <w:szCs w:val="20"/>
        </w:rPr>
      </w:pPr>
      <w:r>
        <w:rPr>
          <w:sz w:val="20"/>
          <w:szCs w:val="20"/>
        </w:rPr>
        <w:t xml:space="preserve">Kanada. </w:t>
      </w:r>
      <w:r>
        <w:rPr>
          <w:b w:val="0"/>
          <w:sz w:val="20"/>
          <w:szCs w:val="20"/>
        </w:rPr>
        <w:t xml:space="preserve">Jeśli Licencjobiorca nabył oprogramowanie w Kanadzie i nie chce już otrzymywać aktualizacji, może wyłączyć funkcję automatycznej aktualizacji, odłączyć swoje urządzenie od Internetu (w takim jednak przypadku po ponownym podłączeniu urządzenia do Internetu oprogramowanie wznowi wyszukiwanie i instalowanie aktualizacji) albo odinstalować oprogramowanie. Ewentualna dokumentacja produktu może także zawierać </w:t>
      </w:r>
      <w:r>
        <w:rPr>
          <w:b w:val="0"/>
          <w:sz w:val="20"/>
          <w:szCs w:val="20"/>
        </w:rPr>
        <w:lastRenderedPageBreak/>
        <w:t>informacje na temat sposobu wyłączania funkcji aktualizacji w danym urządzeniu Licencjobiorcy lub w oprogramowaniu.</w:t>
      </w:r>
    </w:p>
    <w:p w:rsidR="00E400F3" w:rsidRPr="00E400F3" w:rsidRDefault="00E400F3" w:rsidP="00E400F3">
      <w:pPr>
        <w:pStyle w:val="Heading2"/>
        <w:numPr>
          <w:ilvl w:val="0"/>
          <w:numId w:val="15"/>
        </w:numPr>
        <w:rPr>
          <w:b w:val="0"/>
          <w:sz w:val="20"/>
          <w:szCs w:val="20"/>
        </w:rPr>
      </w:pPr>
      <w:r>
        <w:rPr>
          <w:sz w:val="20"/>
          <w:szCs w:val="20"/>
        </w:rPr>
        <w:t>Niemcy i Austria</w:t>
      </w:r>
      <w:r>
        <w:rPr>
          <w:b w:val="0"/>
          <w:sz w:val="20"/>
          <w:szCs w:val="20"/>
        </w:rPr>
        <w:t>.</w:t>
      </w:r>
    </w:p>
    <w:p w:rsidR="00E400F3" w:rsidRPr="00E400F3" w:rsidRDefault="00E400F3" w:rsidP="00E400F3">
      <w:pPr>
        <w:ind w:left="717"/>
        <w:rPr>
          <w:sz w:val="20"/>
          <w:szCs w:val="20"/>
        </w:rPr>
      </w:pPr>
      <w:r>
        <w:rPr>
          <w:b/>
          <w:sz w:val="20"/>
          <w:szCs w:val="20"/>
        </w:rPr>
        <w:t>(i)</w:t>
      </w:r>
      <w:r>
        <w:rPr>
          <w:sz w:val="20"/>
          <w:szCs w:val="20"/>
        </w:rPr>
        <w:tab/>
      </w:r>
      <w:r>
        <w:rPr>
          <w:b/>
          <w:sz w:val="20"/>
          <w:szCs w:val="20"/>
        </w:rPr>
        <w:t>Rękojmia i gwarancja</w:t>
      </w:r>
      <w:r>
        <w:rPr>
          <w:sz w:val="20"/>
          <w:szCs w:val="20"/>
        </w:rPr>
        <w:t>. Oprogramowanie objęte właściwą licencją będzie działać zasadniczo zgodnie z opisem znajdującym się we wszelkich materiałach Microsoft towarzyszących oprogramowaniu. Jednakże Microsoft nie udziela żadnych innych umownych gwarancji i zapewnień dotyczących licencjonowanego oprogramowania.</w:t>
      </w:r>
    </w:p>
    <w:p w:rsidR="00E400F3" w:rsidRPr="00E400F3" w:rsidRDefault="00E400F3" w:rsidP="00E400F3">
      <w:pPr>
        <w:ind w:left="717"/>
        <w:rPr>
          <w:sz w:val="20"/>
          <w:szCs w:val="20"/>
        </w:rPr>
      </w:pPr>
      <w:r>
        <w:rPr>
          <w:b/>
          <w:sz w:val="20"/>
          <w:szCs w:val="20"/>
        </w:rPr>
        <w:t>(ii)</w:t>
      </w:r>
      <w:r>
        <w:rPr>
          <w:sz w:val="20"/>
          <w:szCs w:val="20"/>
        </w:rPr>
        <w:tab/>
      </w:r>
      <w:r>
        <w:rPr>
          <w:b/>
          <w:sz w:val="20"/>
          <w:szCs w:val="20"/>
        </w:rPr>
        <w:t>Ograniczenie odpowiedzialności</w:t>
      </w:r>
      <w:r>
        <w:rPr>
          <w:sz w:val="20"/>
          <w:szCs w:val="20"/>
        </w:rPr>
        <w:t>. W przypadku umyślnego działania, rażącego niedbalstwa, roszczeń opartych na ustawie o odpowiedzialności za produkt oraz w przypadku śmierci lub uszczerbku na zdrowiu Microsoft ponosi odpowiedzialność zgodnie z przepisami bezwzględnie obowiązującymi.</w:t>
      </w:r>
    </w:p>
    <w:p w:rsidR="00E400F3" w:rsidRPr="00E400F3" w:rsidRDefault="00E400F3" w:rsidP="00E400F3">
      <w:pPr>
        <w:pStyle w:val="Heading1"/>
        <w:numPr>
          <w:ilvl w:val="0"/>
          <w:numId w:val="0"/>
        </w:numPr>
        <w:ind w:left="717"/>
        <w:rPr>
          <w:b w:val="0"/>
          <w:sz w:val="20"/>
          <w:szCs w:val="20"/>
        </w:rPr>
      </w:pPr>
      <w:r>
        <w:rPr>
          <w:b w:val="0"/>
          <w:sz w:val="20"/>
          <w:szCs w:val="20"/>
        </w:rPr>
        <w:t>Z zastrzeżeniem postanowień zawartych w powyższym podpunkcie (ii) Microsoft ponosi odpowiedzialność jedynie z tytułu nieznacznego zaniedbania w przypadku niewywiązania się ze swoich istotnych zobowiązań umownych, których naruszenie mogłoby stanowić zagrożenie dla realizacji celu niniejszej umowy, a co do wypełnienia których strona może mieć bezwzględne zaufanie (tzw. podstawowe zobowiązania umowne). Microsoft nie ponosi żadnej odpowiedzialności z tytułu pozostałych przypadków nieznacznego niedbalstwa.</w:t>
      </w:r>
    </w:p>
    <w:p w:rsidR="00F15EA7" w:rsidRPr="00C45CAE" w:rsidRDefault="00E47200">
      <w:pPr>
        <w:pStyle w:val="Heading1"/>
        <w:rPr>
          <w:rFonts w:eastAsia="SimSun"/>
          <w:sz w:val="20"/>
          <w:szCs w:val="20"/>
        </w:rPr>
      </w:pPr>
      <w:r>
        <w:rPr>
          <w:sz w:val="20"/>
          <w:szCs w:val="20"/>
        </w:rPr>
        <w:t>ODRZUCENIE ODPOWIEDZIALNOŚCI Z TYTUŁU RĘKOJMI I GWARANCJI. LICENCJI UDZIELA SIĘ NA OPROGRAMOWANIE W STANIE „TAKIM, W JAKIM ONO JEST”. LICENCJOBIORCA PONOSI RYZYKO ZWIĄZANE Z UŻYWANIEM OPROGRAMOWANIA. MICROSOFT NIE UDZIELA ŻADNYCH WYRAŹNYCH RĘKOJMI, GWARANCJI ANI ZAPEWNIEŃ DOTYCZĄCYCH OPROGRAMOWANIA. W ZAKRESIE DOZWOLONYM PRZEZ PRAWO MIEJSCOWE MICROSOFT NINIEJSZYM WYŁĄCZA SWOJĄ ODPOWIEDZIALNOŚĆ Z TYTUŁU DOROZUMIANYCH RĘKOJMI I GWARANCJI DOTYCZĄCYCH OPROGRAMOWANIA, W TYM GWARANCJI Z TYTUŁU WARTOŚCI HANDLOWEJ, PRZYDATNOŚCI DO OKREŚLONEGO CELU ORAZ BRAKU NARUSZEŃ PRAW OSÓB TRZECICH.</w:t>
      </w:r>
    </w:p>
    <w:p w:rsidR="00F15EA7" w:rsidRPr="00C45CAE" w:rsidRDefault="00E47200">
      <w:pPr>
        <w:pStyle w:val="Heading1"/>
        <w:rPr>
          <w:sz w:val="20"/>
          <w:szCs w:val="20"/>
        </w:rPr>
      </w:pPr>
      <w:r>
        <w:rPr>
          <w:sz w:val="20"/>
          <w:szCs w:val="20"/>
        </w:rPr>
        <w:t>OGRANICZENIE I WYŁĄCZENIE ODPOWIEDZIALNOŚCI ZA SZKODY. MICROSOFT I DOSTAWCY MICROSOFT PONOSZĄ ODPOWIEDZIALNOŚĆ WYŁĄCZNIE ZA SZKODY BEZPOŚREDNIE DO KWOTY 5,00 USD. LICENCJOBIORCA NIE MOŻE DOCHODZIĆ ROSZCZEŃ Z TYTUŁU ŻADNYCH INNYCH SZKÓD I ODSZKODOWAŃ, W TYM ODSZKODOWAŃ SPECJALNYCH ORAZ SZKÓD WYNIKAJĄCYCH Z UTRATY ZYSKÓW, SZKÓD WTÓRNYCH, SZCZEGÓLNYCH, POŚREDNICH ANI UBOCZNYCH.</w:t>
      </w:r>
    </w:p>
    <w:p w:rsidR="00F15EA7" w:rsidRPr="00C45CAE" w:rsidRDefault="00E47200" w:rsidP="0071730A">
      <w:pPr>
        <w:pStyle w:val="Body1"/>
        <w:widowControl w:val="0"/>
        <w:rPr>
          <w:rFonts w:eastAsia="SimSun"/>
          <w:sz w:val="20"/>
          <w:szCs w:val="20"/>
        </w:rPr>
      </w:pPr>
      <w:r>
        <w:rPr>
          <w:sz w:val="20"/>
          <w:szCs w:val="20"/>
        </w:rPr>
        <w:t>Ograniczenie to ma zastosowanie w przypadku (a) wszelkich kwestii dotyczących oprogramowania, usług, treści (w tym kodu) udostępnianych na stronach internetowych osób trzecich lub aplikacji osób trzecich, a także (b) w przypadku roszczeń z tytułu naruszenia umowy, rękojmi bądź gwarancji, złożonych zapewnień, odpowiedzialności obiektywnej bądź niedbalstwa lub czynu niedozwolonego w zakresie dozwolonym przez prawo właściwe.</w:t>
      </w:r>
    </w:p>
    <w:p w:rsidR="00F15EA7" w:rsidRDefault="00E47200">
      <w:pPr>
        <w:widowControl w:val="0"/>
        <w:ind w:left="360"/>
        <w:rPr>
          <w:rFonts w:eastAsia="SimSun"/>
          <w:sz w:val="20"/>
          <w:szCs w:val="20"/>
        </w:rPr>
      </w:pPr>
      <w:r>
        <w:rPr>
          <w:sz w:val="20"/>
          <w:szCs w:val="20"/>
        </w:rPr>
        <w:t>Ograniczenie to ma zastosowanie także w przypadku, gdy spółka Microsoft wiedziała lub powinna była wiedzieć o możliwości powstania takich szkód. Powyższe ograniczenie i wyłączenie mogą jednak nie dotyczyć Licencjobiorcy w przypadku, gdy na mocy prawa krajowego nie jest dozwolone wyłączenie ani ograniczenie odpowiedzialności za szkody uboczne, wtórne itp.</w:t>
      </w:r>
    </w:p>
    <w:p w:rsidR="00DB1D53" w:rsidRDefault="00DB1D53">
      <w:pPr>
        <w:widowControl w:val="0"/>
        <w:ind w:left="360"/>
        <w:rPr>
          <w:rFonts w:eastAsia="SimSun"/>
          <w:sz w:val="20"/>
          <w:szCs w:val="20"/>
        </w:rPr>
      </w:pPr>
    </w:p>
    <w:p w:rsidR="00DB1D53" w:rsidRPr="00C45CAE" w:rsidRDefault="00DB1D53" w:rsidP="00DB1D53">
      <w:pPr>
        <w:widowControl w:val="0"/>
        <w:ind w:left="360"/>
        <w:rPr>
          <w:rFonts w:eastAsia="SimSun"/>
          <w:sz w:val="20"/>
          <w:szCs w:val="20"/>
        </w:rPr>
      </w:pPr>
      <w:r>
        <w:rPr>
          <w:sz w:val="20"/>
          <w:szCs w:val="20"/>
        </w:rPr>
        <w:t>EULA ID: VS 2017_TOOLS_ADDONs_C++_RTW.3_</w:t>
      </w:r>
      <w:r w:rsidR="00EA5F91">
        <w:rPr>
          <w:sz w:val="20"/>
          <w:szCs w:val="20"/>
        </w:rPr>
        <w:t>PLK</w:t>
      </w:r>
      <w:bookmarkStart w:id="0" w:name="_GoBack"/>
      <w:bookmarkEnd w:id="0"/>
    </w:p>
    <w:p w:rsidR="00DB1D53" w:rsidRPr="00C45CAE" w:rsidRDefault="00DB1D53">
      <w:pPr>
        <w:widowControl w:val="0"/>
        <w:ind w:left="360"/>
        <w:rPr>
          <w:rFonts w:eastAsia="SimSun"/>
          <w:sz w:val="20"/>
          <w:szCs w:val="20"/>
        </w:rPr>
      </w:pPr>
    </w:p>
    <w:sectPr w:rsidR="00DB1D53"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B40" w:rsidRDefault="00116B40">
      <w:pPr>
        <w:rPr>
          <w:rFonts w:cs="Times New Roman"/>
        </w:rPr>
      </w:pPr>
      <w:r>
        <w:rPr>
          <w:rFonts w:cs="Times New Roman"/>
        </w:rPr>
        <w:separator/>
      </w:r>
    </w:p>
  </w:endnote>
  <w:endnote w:type="continuationSeparator" w:id="0">
    <w:p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B40" w:rsidRDefault="00116B40">
      <w:pPr>
        <w:rPr>
          <w:rFonts w:cs="Times New Roman"/>
        </w:rPr>
      </w:pPr>
      <w:r>
        <w:rPr>
          <w:rFonts w:cs="Times New Roman"/>
        </w:rPr>
        <w:separator/>
      </w:r>
    </w:p>
  </w:footnote>
  <w:footnote w:type="continuationSeparator" w:id="0">
    <w:p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A5F91"/>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C98B7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pl-PL" w:eastAsia="en-US"/>
    </w:rPr>
  </w:style>
  <w:style w:type="character" w:customStyle="1" w:styleId="Body3Char">
    <w:name w:val="Body 3 Char"/>
    <w:basedOn w:val="DefaultParagraphFont"/>
    <w:uiPriority w:val="99"/>
    <w:rPr>
      <w:rFonts w:ascii="Tahoma" w:hAnsi="Tahoma" w:cs="Tahoma"/>
      <w:lang w:val="pl-PL" w:eastAsia="en-US"/>
    </w:rPr>
  </w:style>
  <w:style w:type="character" w:customStyle="1" w:styleId="Body4Char">
    <w:name w:val="Body 4 Char"/>
    <w:basedOn w:val="DefaultParagraphFont"/>
    <w:uiPriority w:val="99"/>
    <w:rPr>
      <w:rFonts w:ascii="Tahoma" w:hAnsi="Tahoma" w:cs="Tahoma"/>
      <w:lang w:val="pl-PL" w:eastAsia="en-US"/>
    </w:rPr>
  </w:style>
  <w:style w:type="character" w:customStyle="1" w:styleId="Body1Char">
    <w:name w:val="Body 1 Char"/>
    <w:basedOn w:val="DefaultParagraphFont"/>
    <w:uiPriority w:val="99"/>
    <w:rPr>
      <w:rFonts w:ascii="Tahoma" w:hAnsi="Tahoma" w:cs="Tahoma"/>
      <w:lang w:val="pl-PL"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pl-PL"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pl-PL"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pl-PL"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pl-PL"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pl-PL"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F0C1-EBA9-48B2-8EFC-46F7D7B63258}">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29422</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