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MICROSOFT YAZILIMI LİSANS KOŞULLARI</w:t>
      </w:r>
    </w:p>
    <w:p w:rsidR="00F15EA7" w:rsidRPr="00C45CAE" w:rsidRDefault="00E47200">
      <w:pPr>
        <w:pStyle w:val="HeadingSoftwareTitle"/>
        <w:widowControl w:val="0"/>
        <w:rPr>
          <w:rFonts w:eastAsia="SimSun"/>
          <w:sz w:val="20"/>
          <w:szCs w:val="20"/>
        </w:rPr>
      </w:pPr>
      <w:r>
        <w:rPr>
          <w:sz w:val="20"/>
          <w:szCs w:val="20"/>
        </w:rPr>
        <w:t xml:space="preserve">MICROSOFT VISUAL STUDIO 2017 ARAÇLARI, EKLENTİLERİ ve UZANTILARI  </w:t>
      </w:r>
    </w:p>
    <w:p w:rsidR="00F15EA7" w:rsidRPr="00C45CAE" w:rsidRDefault="00E47200">
      <w:pPr>
        <w:pStyle w:val="Preamble"/>
        <w:widowControl w:val="0"/>
        <w:rPr>
          <w:rFonts w:eastAsia="SimSun"/>
          <w:b w:val="0"/>
          <w:bCs w:val="0"/>
          <w:sz w:val="20"/>
          <w:szCs w:val="20"/>
        </w:rPr>
      </w:pPr>
      <w:r>
        <w:rPr>
          <w:b w:val="0"/>
          <w:bCs w:val="0"/>
          <w:sz w:val="20"/>
          <w:szCs w:val="20"/>
        </w:rPr>
        <w:t>Bu lisans koşulları, Microsoft Corporation (veya yaşadığınız yere göre bir bağlı şirketi) ile sizin aranızda yapılan anlaşmayı oluşturur. Bu koşullar, yukarıda adı geçen yazılım için geçerlidir. Şartlar, yazılım için tüm Microsoft hizmetleri veya güncelleştirmeleri için, beraberlerinde farklı şartlar bulunmadığı sürece geçerlidir.</w:t>
      </w:r>
    </w:p>
    <w:p w:rsidR="00F15EA7" w:rsidRPr="00C45CAE" w:rsidRDefault="00E47200">
      <w:pPr>
        <w:pStyle w:val="PreambleBorderAbove"/>
        <w:widowControl w:val="0"/>
        <w:rPr>
          <w:rFonts w:eastAsia="SimSun"/>
          <w:sz w:val="20"/>
          <w:szCs w:val="20"/>
        </w:rPr>
      </w:pPr>
      <w:r>
        <w:rPr>
          <w:sz w:val="20"/>
          <w:szCs w:val="20"/>
        </w:rPr>
        <w:t>BU LİSANS ŞARTLARINA UYDUĞUNUZ TAKDİRDE AŞAĞIDAKİ HAKLARA SAHİP OLURSUNUZ.</w:t>
      </w:r>
    </w:p>
    <w:p w:rsidR="00B406AF" w:rsidRPr="00C45CAE" w:rsidRDefault="00E47200">
      <w:pPr>
        <w:pStyle w:val="Heading1"/>
        <w:widowControl w:val="0"/>
        <w:rPr>
          <w:rFonts w:eastAsia="SimSun"/>
          <w:b w:val="0"/>
          <w:bCs w:val="0"/>
          <w:sz w:val="20"/>
          <w:szCs w:val="20"/>
        </w:rPr>
      </w:pPr>
      <w:r>
        <w:rPr>
          <w:sz w:val="20"/>
          <w:szCs w:val="20"/>
        </w:rPr>
        <w:t xml:space="preserve">KURULUM VE KULLANIM HAKLARI.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Yazılımın istediğiniz sayıda kopyasını yükleyebilir ve kullanabilirsiniz.</w:t>
      </w:r>
    </w:p>
    <w:p w:rsidR="0054177A" w:rsidRPr="00C45CAE" w:rsidRDefault="0054177A">
      <w:pPr>
        <w:pStyle w:val="Heading1"/>
        <w:widowControl w:val="0"/>
        <w:rPr>
          <w:rStyle w:val="Body2Char"/>
          <w:rFonts w:eastAsia="SimSun"/>
          <w:b w:val="0"/>
          <w:bCs w:val="0"/>
          <w:sz w:val="20"/>
          <w:szCs w:val="20"/>
        </w:rPr>
      </w:pPr>
      <w:r>
        <w:rPr>
          <w:sz w:val="20"/>
          <w:szCs w:val="20"/>
        </w:rPr>
        <w:t>ÖZEL BİLEŞENLER İÇİN ŞARTLAR.</w:t>
      </w:r>
    </w:p>
    <w:p w:rsidR="00585893" w:rsidRPr="00A44DF6" w:rsidRDefault="00585893" w:rsidP="0054177A">
      <w:pPr>
        <w:pStyle w:val="Heading2"/>
        <w:rPr>
          <w:rFonts w:eastAsia="SimSun"/>
          <w:b w:val="0"/>
          <w:sz w:val="20"/>
          <w:szCs w:val="20"/>
        </w:rPr>
      </w:pPr>
      <w:r>
        <w:rPr>
          <w:sz w:val="20"/>
          <w:szCs w:val="20"/>
        </w:rPr>
        <w:t xml:space="preserve">Yardımcı Programlar. </w:t>
      </w:r>
      <w:r>
        <w:rPr>
          <w:b w:val="0"/>
          <w:sz w:val="20"/>
          <w:szCs w:val="20"/>
        </w:rPr>
        <w:t xml:space="preserve">Yazılım </w:t>
      </w:r>
      <w:hyperlink r:id="rId8" w:history="1">
        <w:r>
          <w:rPr>
            <w:rStyle w:val="Hyperlink"/>
            <w:b w:val="0"/>
            <w:sz w:val="20"/>
            <w:szCs w:val="20"/>
          </w:rPr>
          <w:t>https://go.microsoft.com/fwlink/?linkid=823097</w:t>
        </w:r>
      </w:hyperlink>
      <w:r>
        <w:rPr>
          <w:b w:val="0"/>
          <w:sz w:val="20"/>
          <w:szCs w:val="20"/>
        </w:rPr>
        <w:t xml:space="preserve"> adresinde Yardımcı Programlar Listesinde bazı öğeler içerebilir.   Bu yardımcı programları, yazılıma dâhil olmaları durumunda, yazılımla geliştirdiğiniz uygulamaları ve veritabanlarını dağıtmak ve bunlarda hata ayıklamak amacıyla cihazlara kopyalayabilir ve yükleyebilirsiniz. </w:t>
      </w:r>
      <w:r>
        <w:rPr>
          <w:b w:val="0"/>
          <w:bCs w:val="0"/>
          <w:sz w:val="20"/>
          <w:szCs w:val="20"/>
        </w:rPr>
        <w:t xml:space="preserve">Lütfen Yardımcı Programların geçici kullanım için tasarlandığına, Microsoft'un Yardımcı Programlara yazılımın geri kalanından ayrıca yama yapamayacağına veya bunları güncelleyemeyeceğine ve Yardımcı Programların yapısı gereği yüklendikleri cihazlara başkalarının da erişimini mümkün kılacağına dikkat edin. Sonuç olarak, uygulamalarınızın ve veritabanlarınızın hata ayıklama veya dağıtılma işlemlerini bitirdikten sonra yüklediğiniz tüm Yardımcı Programları silmeniz gerekir.  </w:t>
      </w:r>
      <w:r>
        <w:rPr>
          <w:b w:val="0"/>
          <w:sz w:val="20"/>
          <w:szCs w:val="20"/>
        </w:rPr>
        <w:t>Microsoft, herhangi bir cihaza yüklediğiniz Yardımcı Programların herhangi bir üçüncü tarafça kullanımından veya erişiminden sorumlu değildir.</w:t>
      </w:r>
    </w:p>
    <w:p w:rsidR="00A44DF6" w:rsidRPr="00C45CAE" w:rsidRDefault="00A44DF6" w:rsidP="0054177A">
      <w:pPr>
        <w:pStyle w:val="Heading2"/>
        <w:rPr>
          <w:rFonts w:eastAsia="SimSun"/>
          <w:b w:val="0"/>
          <w:sz w:val="20"/>
          <w:szCs w:val="20"/>
        </w:rPr>
      </w:pPr>
      <w:r>
        <w:t>Derleme Araçları.</w:t>
      </w:r>
      <w:r>
        <w:rPr>
          <w:b w:val="0"/>
        </w:rPr>
        <w:t xml:space="preserve">  Yazılım, belirli kullanım koşullarına sahip derleme araçlarını içerebilir.   Derleme araçları için, yazılım dosyalarını sahip olduğunuz, sizin için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w:t>
      </w:r>
      <w:r>
        <w:rPr>
          <w:b w:val="0"/>
          <w:bCs w:val="0"/>
        </w:rPr>
        <w:t xml:space="preserve">  Netlik kazandırmak amacıyla, “uygulamalar” ifadesi siz ve kuruluşunuzdaki yazılımı kullanma lisansı olan diğer kişiler tarafından geliştirilen uygulamalar anlamına gelir.</w:t>
      </w:r>
    </w:p>
    <w:p w:rsidR="0054177A" w:rsidRPr="00C45CAE" w:rsidRDefault="0054177A" w:rsidP="0054177A">
      <w:pPr>
        <w:pStyle w:val="Heading2"/>
        <w:rPr>
          <w:rFonts w:eastAsia="SimSun"/>
          <w:b w:val="0"/>
          <w:sz w:val="20"/>
          <w:szCs w:val="20"/>
        </w:rPr>
      </w:pPr>
      <w:r>
        <w:rPr>
          <w:sz w:val="20"/>
          <w:szCs w:val="20"/>
        </w:rPr>
        <w:t xml:space="preserve">Microsoft Platformları.  </w:t>
      </w:r>
      <w:r>
        <w:rPr>
          <w:b w:val="0"/>
          <w:sz w:val="20"/>
          <w:szCs w:val="20"/>
        </w:rPr>
        <w:t>Yazılım, Microsoft Windows; Microsoft Windows Server; Microsoft SQL Server; Microsoft Exchange; Microsoft Office ve Microsoft SharePoint'ten bileşenler içerebilir. Bu bileşenler, yazılımın beraberinde bulunan Microsoft "Licenses" (Lisanslar) klasöründe açıklandığı gibi, ayrı anlaşmalara ve kendi ürün destek ilkelerine tabidir. Söz konusu bileşenlere ilişkin lisans şartları, ilişkili yükleme dizinine de eklenmişse bu bileşenler söz konusu lisans şartlarına tabi olur.</w:t>
      </w:r>
    </w:p>
    <w:p w:rsidR="0011022C" w:rsidRDefault="0011022C" w:rsidP="0011022C">
      <w:pPr>
        <w:pStyle w:val="Heading2"/>
        <w:rPr>
          <w:b w:val="0"/>
          <w:sz w:val="20"/>
          <w:szCs w:val="20"/>
        </w:rPr>
      </w:pPr>
      <w:r>
        <w:rPr>
          <w:sz w:val="20"/>
          <w:szCs w:val="20"/>
        </w:rPr>
        <w:t xml:space="preserve">Üçüncü Taraf Bileşenleri.  </w:t>
      </w:r>
      <w:r>
        <w:rPr>
          <w:b w:val="0"/>
          <w:sz w:val="20"/>
          <w:szCs w:val="20"/>
        </w:rPr>
        <w:t xml:space="preserve">Yazılım, beraberinde bulunan ThirdPartyNotices dosyalarında açıklanmış olabileceği gibi, ayrı yasal bildirimlere sahip veya başka anlaşmalarca yönetilen üçüncü taraf bileşenleri içerebilir.  </w:t>
      </w:r>
    </w:p>
    <w:p w:rsidR="00282039" w:rsidRPr="00282039" w:rsidRDefault="0054177A">
      <w:pPr>
        <w:pStyle w:val="Heading1"/>
        <w:widowControl w:val="0"/>
        <w:rPr>
          <w:b w:val="0"/>
          <w:sz w:val="20"/>
          <w:szCs w:val="20"/>
        </w:rPr>
      </w:pPr>
      <w:r>
        <w:rPr>
          <w:sz w:val="20"/>
          <w:szCs w:val="20"/>
        </w:rPr>
        <w:t xml:space="preserve">VERİLER.  </w:t>
      </w:r>
    </w:p>
    <w:p w:rsidR="0054177A" w:rsidRDefault="00282039" w:rsidP="00282039">
      <w:pPr>
        <w:pStyle w:val="Heading2"/>
        <w:rPr>
          <w:b w:val="0"/>
          <w:sz w:val="20"/>
          <w:szCs w:val="20"/>
        </w:rPr>
      </w:pPr>
      <w:r>
        <w:rPr>
          <w:sz w:val="20"/>
          <w:szCs w:val="20"/>
        </w:rPr>
        <w:t>Veri Toplama.</w:t>
      </w:r>
      <w:r>
        <w:rPr>
          <w:b w:val="0"/>
          <w:sz w:val="20"/>
          <w:szCs w:val="20"/>
        </w:rPr>
        <w:t xml:space="preserve"> 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Ayrıca yazılımda, sizin</w:t>
      </w:r>
      <w:r>
        <w:rPr>
          <w:b w:val="0"/>
          <w:color w:val="000000"/>
          <w:sz w:val="20"/>
          <w:szCs w:val="20"/>
        </w:rPr>
        <w:t xml:space="preserve"> ve Microsoft'un uygulamalarınızın kullanıcılarından veri toplamasına olanak sağlayan bazı özellikler vardır.</w:t>
      </w:r>
      <w:r>
        <w:rPr>
          <w:b w:val="0"/>
          <w:sz w:val="20"/>
          <w:szCs w:val="20"/>
        </w:rPr>
        <w:t xml:space="preserve"> Bu özellikleri kullanırsanız uygulamalarınızın kullanıcılarına uygun bildirimleri sağlamak da dahil geçerli yasalara uymalısınız ve kullanıcılarınıza Microsoft’un gizlilik bildiriminin bir nüshasını sağlamalısınız.</w:t>
      </w:r>
      <w:r>
        <w:rPr>
          <w:b w:val="0"/>
          <w:color w:val="000000"/>
          <w:sz w:val="20"/>
          <w:szCs w:val="20"/>
        </w:rPr>
        <w:t xml:space="preserve"> Microsoft gizlilik bildirimi</w:t>
      </w:r>
      <w:r>
        <w:t xml:space="preserve"> </w:t>
      </w:r>
      <w:hyperlink r:id="rId9" w:history="1">
        <w:r>
          <w:rPr>
            <w:rStyle w:val="Hyperlink"/>
            <w:b w:val="0"/>
            <w:sz w:val="20"/>
            <w:szCs w:val="20"/>
          </w:rPr>
          <w:t>https://go.microsoft.com/fwlink/?LinkID=824704</w:t>
        </w:r>
      </w:hyperlink>
      <w:r>
        <w:rPr>
          <w:b w:val="0"/>
          <w:sz w:val="20"/>
          <w:szCs w:val="20"/>
        </w:rPr>
        <w:t xml:space="preserve"> adresinde bulunur. Veri toplama ve kullanımı hakkında daha fazla bilgiyi, yardım belgelerinde ve gizlilik bildirimimizde bulabilirsiniz. Yazılımı kullanmanız, bu uygulamalara verdiğiniz onay yerine geçer.</w:t>
      </w:r>
    </w:p>
    <w:p w:rsidR="00282039" w:rsidRPr="00C45CAE" w:rsidRDefault="00282039" w:rsidP="00282039">
      <w:pPr>
        <w:pStyle w:val="Heading2"/>
        <w:rPr>
          <w:b w:val="0"/>
          <w:sz w:val="20"/>
          <w:szCs w:val="20"/>
        </w:rPr>
      </w:pPr>
      <w:r>
        <w:rPr>
          <w:sz w:val="20"/>
          <w:szCs w:val="20"/>
        </w:rPr>
        <w:t>Kişisel Verilerin İşlenmesi.</w:t>
      </w:r>
      <w:r>
        <w:rPr>
          <w:b w:val="0"/>
          <w:sz w:val="20"/>
          <w:szCs w:val="20"/>
        </w:rPr>
        <w:t xml:space="preserve"> Microsoft’un yazılımla bağlantılı olarak bir kişisel veri işlemci veya alt işlemci olması dolayısıyla Microsoft, 25 Mayıs 2018’de yürürlüğe girecek, Çevrimiçi Hizmet Şartları’na </w:t>
      </w:r>
      <w:hyperlink r:id="rId10" w:history="1">
        <w:r>
          <w:rPr>
            <w:rStyle w:val="Hyperlink"/>
            <w:b w:val="0"/>
          </w:rPr>
          <w:t>http://go.microsoft.com/?linkid=9840733</w:t>
        </w:r>
      </w:hyperlink>
      <w:r>
        <w:rPr>
          <w:b w:val="0"/>
          <w:sz w:val="20"/>
          <w:szCs w:val="20"/>
        </w:rPr>
        <w:t xml:space="preserve"> adresinde yer verilen Avrupa Birliği Genel Veri Koruma Yönetmeliği Şartları’nı tüm müşterilere taahhüt eder.</w:t>
      </w:r>
    </w:p>
    <w:p w:rsidR="00F15EA7" w:rsidRPr="00C45CAE" w:rsidRDefault="00E47200">
      <w:pPr>
        <w:pStyle w:val="Heading1"/>
        <w:widowControl w:val="0"/>
        <w:rPr>
          <w:rFonts w:eastAsia="SimSun"/>
          <w:b w:val="0"/>
          <w:bCs w:val="0"/>
          <w:sz w:val="20"/>
          <w:szCs w:val="20"/>
        </w:rPr>
      </w:pPr>
      <w:r>
        <w:rPr>
          <w:sz w:val="20"/>
          <w:szCs w:val="20"/>
        </w:rPr>
        <w:t>LİSANS KAPSAMI.</w:t>
      </w:r>
      <w:r>
        <w:rPr>
          <w:b w:val="0"/>
          <w:bCs w:val="0"/>
          <w:sz w:val="20"/>
          <w:szCs w:val="20"/>
        </w:rPr>
        <w:t xml:space="preserve"> 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rsidR="00F15EA7" w:rsidRPr="00C45CAE" w:rsidRDefault="00E47200">
      <w:pPr>
        <w:pStyle w:val="Bullet2"/>
        <w:widowControl w:val="0"/>
        <w:rPr>
          <w:rFonts w:eastAsia="SimSun"/>
          <w:sz w:val="20"/>
          <w:szCs w:val="20"/>
        </w:rPr>
      </w:pPr>
      <w:r>
        <w:rPr>
          <w:sz w:val="20"/>
          <w:szCs w:val="20"/>
        </w:rPr>
        <w:lastRenderedPageBreak/>
        <w:t>yazılımın teknik sınırlamalarını aşacak çözümler üretmek;</w:t>
      </w:r>
    </w:p>
    <w:p w:rsidR="00F15EA7" w:rsidRPr="005F767D" w:rsidRDefault="00E47200">
      <w:pPr>
        <w:pStyle w:val="Bullet2"/>
        <w:widowControl w:val="0"/>
        <w:rPr>
          <w:rFonts w:eastAsia="SimSun"/>
          <w:sz w:val="20"/>
          <w:szCs w:val="20"/>
        </w:rPr>
      </w:pPr>
      <w:r>
        <w:rPr>
          <w:sz w:val="20"/>
          <w:szCs w:val="20"/>
        </w:rPr>
        <w:t xml:space="preserve">yazılımda tersine mühendislik işlemi yapmak, yazılımı kaynak koda dönüştürmek veya assembler diline çevirmek </w:t>
      </w:r>
      <w:r>
        <w:t>veya yazılımın kaynak kodunu başka şekilde oluşturmayı denemek</w:t>
      </w:r>
      <w:r>
        <w:rPr>
          <w:sz w:val="20"/>
          <w:szCs w:val="20"/>
        </w:rPr>
        <w:t>; ancak, yazılımda bulunabilecek bazı açık kaynak bileşenlerin kullanımına ilişkin üçüncü kişi lisans koşulları tarafından gerekli kılınan kapsam hariçtir;</w:t>
      </w:r>
    </w:p>
    <w:p w:rsidR="00FD293A" w:rsidRPr="00C45CAE" w:rsidRDefault="00FD293A">
      <w:pPr>
        <w:pStyle w:val="Bullet2"/>
        <w:widowControl w:val="0"/>
        <w:rPr>
          <w:rFonts w:eastAsia="SimSun"/>
          <w:sz w:val="20"/>
          <w:szCs w:val="20"/>
        </w:rPr>
      </w:pPr>
      <w:r>
        <w:rPr>
          <w:sz w:val="20"/>
          <w:szCs w:val="20"/>
        </w:rPr>
        <w:t xml:space="preserve">Microsoft veya tedarikçilerinin yazılımdaki herhangi bir bildirimini kaldırmak, küçültmek, engellemek ya da değiştirmek; </w:t>
      </w:r>
    </w:p>
    <w:p w:rsidR="000E462E" w:rsidRPr="00C45CAE" w:rsidRDefault="000E462E">
      <w:pPr>
        <w:pStyle w:val="Bullet2"/>
        <w:widowControl w:val="0"/>
        <w:rPr>
          <w:rFonts w:eastAsia="SimSun"/>
          <w:sz w:val="20"/>
          <w:szCs w:val="20"/>
        </w:rPr>
      </w:pPr>
      <w:r>
        <w:rPr>
          <w:sz w:val="20"/>
          <w:szCs w:val="20"/>
        </w:rPr>
        <w:t>yazılımı kanuna aykırı bir şekilde kullanmak veya</w:t>
      </w:r>
    </w:p>
    <w:p w:rsidR="00F15EA7" w:rsidRPr="00C45CAE" w:rsidRDefault="000E462E">
      <w:pPr>
        <w:pStyle w:val="Bullet2"/>
        <w:widowControl w:val="0"/>
        <w:rPr>
          <w:rFonts w:eastAsia="SimSun"/>
          <w:sz w:val="20"/>
          <w:szCs w:val="20"/>
        </w:rPr>
      </w:pPr>
      <w:r>
        <w:rPr>
          <w:sz w:val="20"/>
          <w:szCs w:val="20"/>
        </w:rPr>
        <w:t>yazılımı paylaşmak, yayımlamak, kiralamak veya finansal kiralama yoluyla satmak veya yazılımı başkalarının kullanımına tek başına bir çözüm olarak sunmak veya bu yazılımı veya bu anlaşmayı herhangi bir üçüncü kişiye devretmek.</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İHRACAT KISITLAMALARI.</w:t>
      </w:r>
      <w:r>
        <w:rPr>
          <w:b w:val="0"/>
          <w:bCs w:val="0"/>
          <w:sz w:val="20"/>
          <w:szCs w:val="20"/>
        </w:rPr>
        <w:t xml:space="preserve"> Yazılım için geçerli olan ve destinasyonlar, son kullanıcılar ve nihai kullanıma ilişkin sınırlamalar içeren bütün yurtiçi ve uluslararası ihracat yasa ve yönetmeliklerine uymalısınız. İhracat kısıtlamaları hakkında daha fazla bilgi için </w:t>
      </w:r>
      <w:hyperlink r:id="rId11" w:history="1">
        <w:r>
          <w:rPr>
            <w:rStyle w:val="Hyperlink"/>
            <w:b w:val="0"/>
            <w:bCs w:val="0"/>
            <w:sz w:val="20"/>
            <w:szCs w:val="20"/>
          </w:rPr>
          <w:t>www.microsoft.com/exporting</w:t>
        </w:r>
      </w:hyperlink>
      <w:r>
        <w:rPr>
          <w:b w:val="0"/>
          <w:bCs w:val="0"/>
          <w:sz w:val="20"/>
          <w:szCs w:val="20"/>
        </w:rPr>
        <w:t xml:space="preserve"> sayfasını ziyaret edin. </w:t>
      </w:r>
    </w:p>
    <w:p w:rsidR="00F15EA7" w:rsidRPr="00C45CAE" w:rsidRDefault="00E47200">
      <w:pPr>
        <w:pStyle w:val="Heading1"/>
        <w:widowControl w:val="0"/>
        <w:rPr>
          <w:rFonts w:eastAsia="SimSun"/>
          <w:b w:val="0"/>
          <w:bCs w:val="0"/>
          <w:sz w:val="20"/>
          <w:szCs w:val="20"/>
        </w:rPr>
      </w:pPr>
      <w:r>
        <w:rPr>
          <w:sz w:val="20"/>
          <w:szCs w:val="20"/>
        </w:rPr>
        <w:t xml:space="preserve">DESTEK HİZMETLERİ. </w:t>
      </w:r>
      <w:r>
        <w:rPr>
          <w:b w:val="0"/>
          <w:bCs w:val="0"/>
          <w:sz w:val="20"/>
          <w:szCs w:val="20"/>
        </w:rPr>
        <w:t>Bu yazılım "olduğu gibi" sağlandığından, yazılım için destek hizmeti veremeyebiliriz.</w:t>
      </w:r>
    </w:p>
    <w:p w:rsidR="00F15EA7" w:rsidRPr="00C45CAE" w:rsidRDefault="00E47200">
      <w:pPr>
        <w:pStyle w:val="Heading1"/>
        <w:widowControl w:val="0"/>
        <w:rPr>
          <w:rFonts w:eastAsia="SimSun"/>
          <w:b w:val="0"/>
          <w:bCs w:val="0"/>
          <w:sz w:val="20"/>
          <w:szCs w:val="20"/>
        </w:rPr>
      </w:pPr>
      <w:r>
        <w:rPr>
          <w:sz w:val="20"/>
          <w:szCs w:val="20"/>
        </w:rPr>
        <w:t>ANLAŞMANIN TAMAMI.</w:t>
      </w:r>
      <w:r>
        <w:rPr>
          <w:b w:val="0"/>
          <w:bCs w:val="0"/>
          <w:sz w:val="20"/>
          <w:szCs w:val="20"/>
        </w:rPr>
        <w:t xml:space="preserve"> Bu anlaşma ve eklerin, güncelleştirmelerin, İnternet tabanlı hizmetlerin ve kullandığınız destek hizmetlerinin koşulları, yazılım ve destek hizmetlerine yönelik anlaşmanın tamamını oluşturur.</w:t>
      </w:r>
    </w:p>
    <w:p w:rsidR="00F15EA7" w:rsidRPr="00C45CAE" w:rsidRDefault="00E47200">
      <w:pPr>
        <w:pStyle w:val="Heading1"/>
        <w:widowControl w:val="0"/>
        <w:ind w:left="360" w:hanging="360"/>
        <w:rPr>
          <w:rFonts w:eastAsia="SimSun"/>
          <w:sz w:val="20"/>
          <w:szCs w:val="20"/>
        </w:rPr>
      </w:pPr>
      <w:r>
        <w:rPr>
          <w:sz w:val="20"/>
          <w:szCs w:val="20"/>
        </w:rPr>
        <w:t xml:space="preserve">İLGİLİ YASALAR. </w:t>
      </w:r>
      <w:r>
        <w:rPr>
          <w:b w:val="0"/>
          <w:sz w:val="20"/>
          <w:szCs w:val="2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TÜKETİCİ HAKLARI, BÖLGESEL DEĞİŞİMLER. </w:t>
      </w:r>
      <w:r>
        <w:rPr>
          <w:b w:val="0"/>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E400F3" w:rsidRPr="00E400F3" w:rsidRDefault="00E400F3" w:rsidP="00E400F3">
      <w:pPr>
        <w:pStyle w:val="Heading2"/>
        <w:numPr>
          <w:ilvl w:val="0"/>
          <w:numId w:val="15"/>
        </w:numPr>
        <w:rPr>
          <w:b w:val="0"/>
          <w:sz w:val="20"/>
          <w:szCs w:val="20"/>
        </w:rPr>
      </w:pPr>
      <w:r>
        <w:rPr>
          <w:sz w:val="20"/>
          <w:szCs w:val="20"/>
        </w:rPr>
        <w:t xml:space="preserve">Avustralya. </w:t>
      </w:r>
      <w:r>
        <w:rPr>
          <w:b w:val="0"/>
          <w:sz w:val="20"/>
          <w:szCs w:val="20"/>
        </w:rPr>
        <w:t>Avustralya Tüketici Yasası kapsamında kanuni garantileriniz bulunmaktadır ve bu anlaşmadaki hiçbir şey, bu hakları etkilemeyi amaçlamaz.</w:t>
      </w:r>
    </w:p>
    <w:p w:rsidR="00E400F3" w:rsidRPr="00E400F3" w:rsidRDefault="00E400F3" w:rsidP="00E400F3">
      <w:pPr>
        <w:pStyle w:val="Heading2"/>
        <w:numPr>
          <w:ilvl w:val="0"/>
          <w:numId w:val="15"/>
        </w:numPr>
        <w:rPr>
          <w:b w:val="0"/>
          <w:sz w:val="20"/>
          <w:szCs w:val="20"/>
        </w:rPr>
      </w:pPr>
      <w:r>
        <w:rPr>
          <w:sz w:val="20"/>
          <w:szCs w:val="20"/>
        </w:rPr>
        <w:t xml:space="preserve">Kanada. </w:t>
      </w:r>
      <w:r>
        <w:rPr>
          <w:b w:val="0"/>
          <w:sz w:val="20"/>
          <w:szCs w:val="2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E400F3" w:rsidRPr="00E400F3" w:rsidRDefault="00E400F3" w:rsidP="00E400F3">
      <w:pPr>
        <w:pStyle w:val="Heading2"/>
        <w:numPr>
          <w:ilvl w:val="0"/>
          <w:numId w:val="15"/>
        </w:numPr>
        <w:rPr>
          <w:b w:val="0"/>
          <w:sz w:val="20"/>
          <w:szCs w:val="20"/>
        </w:rPr>
      </w:pPr>
      <w:r>
        <w:rPr>
          <w:sz w:val="20"/>
          <w:szCs w:val="20"/>
        </w:rPr>
        <w:t>Almanya ve Avusturya</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Garanti</w:t>
      </w:r>
      <w:r>
        <w:rPr>
          <w:sz w:val="20"/>
          <w:szCs w:val="20"/>
        </w:rPr>
        <w:t>. Düzgün olarak lisanslanan yazılım, esasen yazılımla birlikte verilen herhangi bir Microsoft materyalinde tanımlandığı şekilde çalışacaktır. Ancak Microsoft, lisanslanmış yazılımla ilgili olarak sözleşmeden doğan hiçbir taahhüt vermez.</w:t>
      </w:r>
    </w:p>
    <w:p w:rsidR="00E400F3" w:rsidRPr="00E400F3" w:rsidRDefault="00E400F3" w:rsidP="00E400F3">
      <w:pPr>
        <w:ind w:left="717"/>
        <w:rPr>
          <w:sz w:val="20"/>
          <w:szCs w:val="20"/>
        </w:rPr>
      </w:pPr>
      <w:r>
        <w:rPr>
          <w:b/>
          <w:sz w:val="20"/>
          <w:szCs w:val="20"/>
        </w:rPr>
        <w:t>(ii)</w:t>
      </w:r>
      <w:r>
        <w:rPr>
          <w:sz w:val="20"/>
          <w:szCs w:val="20"/>
        </w:rPr>
        <w:tab/>
      </w:r>
      <w:r>
        <w:rPr>
          <w:b/>
          <w:sz w:val="20"/>
          <w:szCs w:val="20"/>
        </w:rPr>
        <w:t>Sorumluluğun Sınırlandırılması</w:t>
      </w:r>
      <w:r>
        <w:rPr>
          <w:sz w:val="20"/>
          <w:szCs w:val="20"/>
        </w:rPr>
        <w:t>. Kasıtlı davranış, ağır ihmal, Ürün Sorumluluğu Yasası'na dayalı taleplerin yanı sıra ölüm veya yaralanma durumunda, Microsoft kanunlar uyarınca yükümlüdür.</w:t>
      </w:r>
    </w:p>
    <w:p w:rsidR="00E400F3" w:rsidRPr="00E400F3" w:rsidRDefault="00E400F3" w:rsidP="00E400F3">
      <w:pPr>
        <w:pStyle w:val="Heading1"/>
        <w:numPr>
          <w:ilvl w:val="0"/>
          <w:numId w:val="0"/>
        </w:numPr>
        <w:ind w:left="717"/>
        <w:rPr>
          <w:b w:val="0"/>
          <w:sz w:val="20"/>
          <w:szCs w:val="20"/>
        </w:rPr>
      </w:pPr>
      <w:r>
        <w:rPr>
          <w:b w:val="0"/>
          <w:sz w:val="20"/>
          <w:szCs w:val="20"/>
        </w:rP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rsidR="00F15EA7" w:rsidRPr="00C45CAE" w:rsidRDefault="00E47200">
      <w:pPr>
        <w:pStyle w:val="Heading1"/>
        <w:rPr>
          <w:rFonts w:eastAsia="SimSun"/>
          <w:sz w:val="20"/>
          <w:szCs w:val="20"/>
        </w:rPr>
      </w:pPr>
      <w:r>
        <w:rPr>
          <w:sz w:val="20"/>
          <w:szCs w:val="20"/>
        </w:rPr>
        <w:t>GARANTİ REDDİ. YAZILIMIN LİSANSI “OLDUĞU GİBİ” VERİLMEKTEDİR. KULLANIMINA İLİŞKİN RİSKLER TARAFINIZDAN ÜSTLENİLİR. MİCROSOFT TARAFINDAN HİÇBİR AÇIK GARANTİ VERİLMEMEKTE VEYA KOŞUL İLERİ SÜRÜLMEMEKTEDİR. MICROSOFT, BÖLGENİZDEKİ YASALAR ÇERÇEVESİNDE İZİN VERİLEN ÖLÇÜDE, TİCARİ OLARAK SATILABİLME, BELİRLİ BİR AMACA UYGUNLUK VE İHLAL BULUNMAMASI İLE İLGİLİ ZIMNİ GARANTİLERİ KAPSAM DIŞINDA BIRAKIR.</w:t>
      </w:r>
    </w:p>
    <w:p w:rsidR="00F15EA7" w:rsidRPr="00C45CAE" w:rsidRDefault="00E47200">
      <w:pPr>
        <w:pStyle w:val="Heading1"/>
        <w:rPr>
          <w:sz w:val="20"/>
          <w:szCs w:val="20"/>
        </w:rPr>
      </w:pPr>
      <w:r>
        <w:rPr>
          <w:sz w:val="20"/>
          <w:szCs w:val="20"/>
        </w:rPr>
        <w:t xml:space="preserve">ZARARLARIN SINIRLANDIRILMASI VE HARİÇ TUTULMASI. MİCROSOFT VE TEDARİKÇİLERİNDEN, 5,00 ABD DOLARI'NA KADAR DOĞRUDAN ZARARLARI GERİ ALABİLİRSİNİZ. NETİCEDE OLUŞAN ZARARLAR, </w:t>
      </w:r>
      <w:r>
        <w:rPr>
          <w:sz w:val="20"/>
          <w:szCs w:val="20"/>
        </w:rPr>
        <w:lastRenderedPageBreak/>
        <w:t>KAR KAYBI ZARARLARI, ÖZEL, DOLAYLI VEYA MÜSPET ZARARLARLA BAĞLANTILI ZARARLAR dâhil DİĞER ZARARLARI GERİ ALAMAZSINIZ.</w:t>
      </w:r>
    </w:p>
    <w:p w:rsidR="00F15EA7" w:rsidRPr="00C45CAE" w:rsidRDefault="00E47200" w:rsidP="0071730A">
      <w:pPr>
        <w:pStyle w:val="Body1"/>
        <w:widowControl w:val="0"/>
        <w:rPr>
          <w:rFonts w:eastAsia="SimSun"/>
          <w:sz w:val="20"/>
          <w:szCs w:val="20"/>
        </w:rPr>
      </w:pPr>
      <w:r>
        <w:rPr>
          <w:sz w:val="20"/>
          <w:szCs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F15EA7" w:rsidRDefault="00E47200">
      <w:pPr>
        <w:widowControl w:val="0"/>
        <w:ind w:left="360"/>
        <w:rPr>
          <w:rFonts w:eastAsia="SimSun"/>
          <w:sz w:val="20"/>
          <w:szCs w:val="20"/>
        </w:rPr>
      </w:pPr>
      <w:r>
        <w:rPr>
          <w:sz w:val="20"/>
          <w:szCs w:val="20"/>
        </w:rPr>
        <w:t>Bu sınırlama, Microsoft'un zararın oluşma olasılığını bilmesi veya bilmesinin gerekmesi halinde de geçerlidir. Yukarıdaki sınırlama veya hariç tutma, ülkeniz müsbet zararlarla bağlantılı, neticede oluşan veya diğer zararların sınırlanmasına veya hariç tutulmasına izin vermediği takdirde sizin için geçerli olmayabilir.</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w:t>
      </w:r>
      <w:r w:rsidR="00FC130F">
        <w:rPr>
          <w:sz w:val="20"/>
          <w:szCs w:val="20"/>
        </w:rPr>
        <w:t>TRK</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C130F"/>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9D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tr-TR" w:eastAsia="en-US"/>
    </w:rPr>
  </w:style>
  <w:style w:type="character" w:customStyle="1" w:styleId="Body3Char">
    <w:name w:val="Body 3 Char"/>
    <w:basedOn w:val="DefaultParagraphFont"/>
    <w:uiPriority w:val="99"/>
    <w:rPr>
      <w:rFonts w:ascii="Tahoma" w:hAnsi="Tahoma" w:cs="Tahoma"/>
      <w:lang w:val="tr-TR" w:eastAsia="en-US"/>
    </w:rPr>
  </w:style>
  <w:style w:type="character" w:customStyle="1" w:styleId="Body4Char">
    <w:name w:val="Body 4 Char"/>
    <w:basedOn w:val="DefaultParagraphFont"/>
    <w:uiPriority w:val="99"/>
    <w:rPr>
      <w:rFonts w:ascii="Tahoma" w:hAnsi="Tahoma" w:cs="Tahoma"/>
      <w:lang w:val="tr-TR" w:eastAsia="en-US"/>
    </w:rPr>
  </w:style>
  <w:style w:type="character" w:customStyle="1" w:styleId="Body1Char">
    <w:name w:val="Body 1 Char"/>
    <w:basedOn w:val="DefaultParagraphFont"/>
    <w:uiPriority w:val="99"/>
    <w:rPr>
      <w:rFonts w:ascii="Tahoma" w:hAnsi="Tahoma" w:cs="Tahoma"/>
      <w:lang w:val="tr-T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tr-T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tr-TR"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tr-TR"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tr-TR"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tr-TR"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21FB-2986-4BD2-B8B8-7F1F960373D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28768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