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MICROSOFT-LIZENZBESTIMMUNGEN FÜR VORABVERSIONSSOFTWARE</w:t>
      </w:r>
    </w:p>
    <w:p w14:paraId="67075120" w14:textId="60F149CD" w:rsidR="00980B5A" w:rsidRPr="00D93939" w:rsidRDefault="00980B5A" w:rsidP="00225AB3">
      <w:pPr>
        <w:pStyle w:val="HeadingSoftwareTitle"/>
      </w:pPr>
      <w: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Diese Lizenzbestimmungen sind ein Vertrag zwischen Ihnen und der Microsoft Corporation (bzw. abhängig von Ihrem Wohnsitz einem mit Microsoft verbundenen Unternehmen).  Sie gelten für die oben genannte Vorabversionssoftware.  Die Bestimmungen gelten ebenso für jegliche von Microsoft angebotenen Dienste oder Updates für die Software, sofern diesen keine eigenen Bestimmungen beiliegen.</w:t>
      </w:r>
    </w:p>
    <w:p w14:paraId="4E7F1821" w14:textId="77777777" w:rsidR="00980B5A" w:rsidRPr="00EF0B4C" w:rsidRDefault="00980B5A" w:rsidP="00D75D8F">
      <w:pPr>
        <w:pStyle w:val="PreambleBorderAbove"/>
        <w:rPr>
          <w:sz w:val="20"/>
          <w:szCs w:val="20"/>
        </w:rPr>
      </w:pPr>
      <w:r>
        <w:rPr>
          <w:sz w:val="20"/>
        </w:rPr>
        <w:t>Wenn Sie diese Lizenzbestimmungen einhalten, verfügen Sie über die nachfolgend aufgeführten Rechte:</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DEFINITIONEN.</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„Server“ ist ein physisches Hardwaresystem, das fähig ist, Serversoftware auszuführen. Eine Hardwarepartition oder ein Blade wird als separates physisches Hardwaresystem betrachtet.</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„Zusätzliche Software“ bedeutet:</w:t>
      </w:r>
    </w:p>
    <w:p w14:paraId="4DFE0D0C" w14:textId="77777777" w:rsidR="00273512" w:rsidRPr="00CC50E7" w:rsidRDefault="00273512" w:rsidP="007D6791">
      <w:pPr>
        <w:pStyle w:val="Bullet3"/>
        <w:numPr>
          <w:ilvl w:val="1"/>
          <w:numId w:val="15"/>
        </w:numPr>
        <w:ind w:left="1710" w:hanging="540"/>
        <w:rPr>
          <w:sz w:val="20"/>
          <w:szCs w:val="20"/>
        </w:rPr>
      </w:pPr>
      <w:r>
        <w:rPr>
          <w:sz w:val="20"/>
        </w:rPr>
        <w:t>Visual Studio Team Foundation-Builddienste</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Cloud-Nutzung</w:t>
      </w:r>
      <w:r>
        <w:rPr>
          <w:sz w:val="20"/>
        </w:rPr>
        <w:t xml:space="preserve">. Sie sind berechtigt, die Vorabversion der Software zum Visual Studio Team Foundation Server 2018 bei Microsoft Azure auszuführen.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RECHTE ZUR INSTALLATION UND NUTZUNG.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Wenn Sie diese Lizenzbestimmungen einhalten, sind Sie berechtigt, Kopien der Software auf in Ihren Geschäftsräumen befindlichen Servern zu installieren und zu verwenden und die Software in einer realen Produktionsumgebung zum Entwerfen, Entwickeln und Testen Ihrer Anwendungen zu verwenden, vorausgesetzt, dass:</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Sie angemessene Vorsichtsmaßnahmen zur Sicherung und zum Schutz Ihrer Daten ergreifen,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Sie sich damit einverstanden erklären, eine solche Verwendung nach einer entsprechenden Benachrichtigung von Microsoft unverzüglich einzustellen, und </w:t>
      </w:r>
    </w:p>
    <w:p w14:paraId="723055DD" w14:textId="77777777" w:rsidR="002E30CE" w:rsidRPr="00EF0B4C" w:rsidRDefault="002E30CE" w:rsidP="002202C7">
      <w:pPr>
        <w:pStyle w:val="Heading3"/>
        <w:tabs>
          <w:tab w:val="num" w:pos="1077"/>
        </w:tabs>
        <w:ind w:left="1728" w:hanging="468"/>
        <w:rPr>
          <w:bCs/>
          <w:sz w:val="20"/>
          <w:szCs w:val="20"/>
        </w:rPr>
      </w:pPr>
      <w:r>
        <w:rPr>
          <w:sz w:val="20"/>
        </w:rPr>
        <w:t>auf eine solche Produktionsumgebung nur von Ihren Mitarbeitern und Vertragspartnern zugegriffen werden darf.</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Sie sind berechtigt, Kopien der Zusätzlichen Software auf einer beliebigen Anzahl von Geräten zu installieren und zu verwenden.  Sie sind berechtigt, die Zusätzliche Software nur mit der Serversoftware zu verwenden.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VORABVERSION DER SOFTWARE</w:t>
      </w:r>
      <w:r>
        <w:rPr>
          <w:b w:val="0"/>
          <w:sz w:val="20"/>
        </w:rPr>
        <w:t>.  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Des Weiteren sind wir berechtigt, keine Version für den Handel auf den Markt zu bringen.  Microsoft ist nicht verpflichtet, Ihnen Wartung, technischen Support oder Updates für die Software zu liefern.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Im Lieferumfang enthaltene Programme.</w:t>
      </w:r>
      <w:r>
        <w:rPr>
          <w:sz w:val="20"/>
        </w:rPr>
        <w:t xml:space="preserve">  </w:t>
      </w:r>
      <w:r>
        <w:rPr>
          <w:b w:val="0"/>
          <w:sz w:val="20"/>
        </w:rPr>
        <w:t xml:space="preserve">Diese Lizenzbestimmungen gelten für alle im Lieferumfang der Software enthaltenen Microsoft-Programme, sofern in diesem Vertrag nichts anderes dargelegt ist.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Drittpartei-KOMPONENTEN</w:t>
      </w:r>
      <w:r>
        <w:rPr>
          <w:sz w:val="20"/>
        </w:rPr>
        <w:t xml:space="preserve">.   </w:t>
      </w:r>
      <w:r>
        <w:rPr>
          <w:b w:val="0"/>
          <w:sz w:val="20"/>
        </w:rPr>
        <w:t xml:space="preserve">Diese Software kann Komponenten Dritter beinhalten, die gesonderten rechtlichen Anmerkungen oder anderen Verträgen unterliegen, wie in der der Software beiliegenden ThirdPartyNotices-Datei ggf. beschrieben ist.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lastRenderedPageBreak/>
        <w:t xml:space="preserve">UPDATES.  </w:t>
      </w:r>
      <w:r>
        <w:rPr>
          <w:b w:val="0"/>
          <w:sz w:val="20"/>
        </w:rPr>
        <w:t>Wenn Microsoft Bugfixes, Sicherheitsfixes oder andere Fehlerkorrekturen an der Software vornimmt, erklären Sie sich damit einverstanden, wirtschaftlich angemessene Anstrengungen zu unternehmen, um sie zum Zweck des Aktualisierens der Software zu installieren.</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DATEN.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Datenerfassung.</w:t>
      </w:r>
      <w:r>
        <w:rPr>
          <w:sz w:val="20"/>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Außerdem enthält die Software einige Features, mit denen Sie möglicherweise Daten von Nutzern Ihrer Anwendungen erheben können. Wenn Sie diese Features nutzen, um die Datenerhebung in Ihren Anwendungen zu ermöglichen, müssen Sie das anwendbare Recht einhalten, einschließlich Bereitstellung entsprechender Benachrichtigungen an Nutzer Ihrer Anwendungen. Weitere Informationen über Datensammlung und Nutzung finden Sie in der Hilfedokumentation und Datenschutzerklärung unter </w:t>
      </w:r>
      <w:hyperlink r:id="rId8">
        <w:r>
          <w:rPr>
            <w:sz w:val="20"/>
          </w:rPr>
          <w:t>https://go.microsoft.com/fwlink/?linkid=853472</w:t>
        </w:r>
      </w:hyperlink>
      <w:r>
        <w:rPr>
          <w:sz w:val="20"/>
        </w:rPr>
        <w:t>.  Durch die Nutzung der Software erklären Sie sich mit diesen Praktiken einverstanden.</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t>Verarbeitung Personenbezogener Daten</w:t>
      </w:r>
      <w:r>
        <w:rPr>
          <w:sz w:val="20"/>
        </w:rPr>
        <w:t xml:space="preserve">. </w:t>
      </w:r>
      <w:r>
        <w:t xml:space="preserve">Soweit Microsoft im Zusammenhang mit der Software als Auftragsverarbeiter oder Unterauftragsverarbeiter von personenbezogenen Daten auftritt, geht Microsoft im Rahmen der Datenschutz-Grundverordnung der Europäischen Union zum 25. Mai 2018 allen Kunden gegenüber die Verpflichtungen gemäß den Bestimmungen für Onlinedienste ein, die unter </w:t>
      </w:r>
      <w:hyperlink r:id="rId9">
        <w:r>
          <w:rPr>
            <w:rStyle w:val="Hyperlink"/>
          </w:rPr>
          <w:t>http://go.microsoft.com/?linkid=9840733</w:t>
        </w:r>
      </w:hyperlink>
      <w:r>
        <w:t xml:space="preserve"> verfügbar sind.</w:t>
      </w:r>
    </w:p>
    <w:p w14:paraId="48022043" w14:textId="5E688B9D" w:rsidR="00980B5A" w:rsidRPr="003F53CE" w:rsidRDefault="00980B5A" w:rsidP="00CD5DCE">
      <w:pPr>
        <w:pStyle w:val="Heading1"/>
        <w:ind w:left="540" w:hanging="360"/>
        <w:rPr>
          <w:sz w:val="20"/>
          <w:szCs w:val="20"/>
        </w:rPr>
      </w:pPr>
      <w:r>
        <w:rPr>
          <w:sz w:val="20"/>
        </w:rPr>
        <w:t xml:space="preserve">FEEDBACK. </w:t>
      </w:r>
      <w:r>
        <w:rPr>
          <w:b w:val="0"/>
          <w:sz w:val="20"/>
        </w:rPr>
        <w:t xml:space="preserve"> 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149C93D8" w14:textId="77777777" w:rsidR="00E068AF" w:rsidRPr="003F53CE" w:rsidRDefault="00FA27B5" w:rsidP="00CD5DCE">
      <w:pPr>
        <w:pStyle w:val="Heading1"/>
        <w:ind w:left="540" w:hanging="360"/>
        <w:rPr>
          <w:sz w:val="20"/>
          <w:szCs w:val="20"/>
        </w:rPr>
      </w:pPr>
      <w:r>
        <w:rPr>
          <w:sz w:val="20"/>
        </w:rPr>
        <w:t xml:space="preserve">MICROSOFT-PLATTFORMEN. </w:t>
      </w:r>
      <w:r>
        <w:rPr>
          <w:b w:val="0"/>
          <w:sz w:val="20"/>
        </w:rPr>
        <w:t>Die Software kann Komponenten aus Microsoft Windows, Microsoft Windows Server, Microsoft SQL Server, Microsoft Exchange, Microsoft Office und Microsoft SharePoint enthalten. Diese Komponenten unterliegen separaten Verträgen und separaten Produktsupportrichtlinien, die in</w:t>
      </w:r>
      <w:r>
        <w:rPr>
          <w:rFonts w:ascii="Garamond" w:hAnsi="Garamond"/>
          <w:b w:val="0"/>
          <w:color w:val="002060"/>
          <w:sz w:val="20"/>
        </w:rPr>
        <w:t xml:space="preserve"> </w:t>
      </w:r>
      <w:r>
        <w:rPr>
          <w:b w:val="0"/>
          <w:sz w:val="20"/>
        </w:rPr>
        <w:t>den Lizenzbestimmungen beschrieben sind, die sich im Installationsverzeichnis für die jeweilige Komponente oder im Ordner „Lizenzen“ befinden, die der Software beiliegen.</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Zusätzlich zu den Microsoft-Plattform-Bestimmungen sind Sie berechtigt, nur eine Instanz der SQL Server 2016 Standard Edition in einer physischen oder virtuellen Betriebssystemumgebung auszuführen, und dies nur, um die Software zu unterstützen. Sie benötigen für diese eingeschränkte Nutzung keine SQL Server-CALs. </w:t>
      </w:r>
    </w:p>
    <w:p w14:paraId="4FB73AE0" w14:textId="554D8F06" w:rsidR="00980B5A" w:rsidRPr="003F53CE" w:rsidRDefault="00980B5A" w:rsidP="00CD5DCE">
      <w:pPr>
        <w:pStyle w:val="Heading1"/>
        <w:ind w:left="540" w:hanging="360"/>
        <w:rPr>
          <w:sz w:val="20"/>
          <w:szCs w:val="20"/>
        </w:rPr>
      </w:pPr>
      <w:r>
        <w:rPr>
          <w:caps/>
          <w:sz w:val="20"/>
        </w:rPr>
        <w:t>Gültigkeitsbereich der Lizenz</w:t>
      </w:r>
      <w:r>
        <w:rPr>
          <w:sz w:val="20"/>
        </w:rPr>
        <w:t>.</w:t>
      </w:r>
      <w:r>
        <w:rPr>
          <w:b w:val="0"/>
          <w:sz w:val="20"/>
        </w:rPr>
        <w:t xml:space="preserve">  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14:paraId="0414BB0A" w14:textId="77777777" w:rsidR="00980B5A" w:rsidRPr="000E036B" w:rsidRDefault="00980B5A" w:rsidP="00CD5DCE">
      <w:pPr>
        <w:pStyle w:val="Bullet2"/>
        <w:numPr>
          <w:ilvl w:val="0"/>
          <w:numId w:val="22"/>
        </w:numPr>
        <w:rPr>
          <w:sz w:val="20"/>
          <w:szCs w:val="20"/>
        </w:rPr>
      </w:pPr>
      <w:r>
        <w:rPr>
          <w:sz w:val="20"/>
        </w:rPr>
        <w:t>technische Beschränkungen der Software zu umgehen,</w:t>
      </w:r>
    </w:p>
    <w:p w14:paraId="2A583105" w14:textId="04C65AD6" w:rsidR="00DB1DC6" w:rsidRPr="003F53CE" w:rsidRDefault="00DB1DC6" w:rsidP="00CD5DCE">
      <w:pPr>
        <w:pStyle w:val="Bullet2"/>
        <w:numPr>
          <w:ilvl w:val="0"/>
          <w:numId w:val="22"/>
        </w:numPr>
        <w:rPr>
          <w:rFonts w:eastAsia="SimSun"/>
          <w:sz w:val="20"/>
          <w:szCs w:val="20"/>
        </w:rPr>
      </w:pPr>
      <w:r>
        <w:rPr>
          <w:sz w:val="20"/>
        </w:rPr>
        <w:t xml:space="preserve">die Software zurückzuentwickeln, zu dekompilieren, zu disassemblieren oder es zu versuchen, ausgenommen und nur in dem Maße, wie dies in den Lizenzierungsbestimmungen </w:t>
      </w:r>
      <w:r>
        <w:rPr>
          <w:sz w:val="20"/>
        </w:rPr>
        <w:lastRenderedPageBreak/>
        <w:t>für Dritte vorgesehen ist, die die Nutzung bestimmter Open Source-Komponenten regeln, die in der Software enthalten sein können,</w:t>
      </w:r>
    </w:p>
    <w:p w14:paraId="145D641C" w14:textId="77777777" w:rsidR="00980B5A" w:rsidRPr="003F53CE" w:rsidRDefault="008A12DC" w:rsidP="00CD5DCE">
      <w:pPr>
        <w:pStyle w:val="Bullet2"/>
        <w:numPr>
          <w:ilvl w:val="0"/>
          <w:numId w:val="22"/>
        </w:numPr>
        <w:rPr>
          <w:sz w:val="20"/>
          <w:szCs w:val="20"/>
        </w:rPr>
      </w:pPr>
      <w:r>
        <w:rPr>
          <w:sz w:val="20"/>
        </w:rPr>
        <w:t>Mitteilungen der Firma Microsoft oder ihrer Lieferanten in der Software zu entfernen, zu minimieren, zu blockieren oder zu verändern,</w:t>
      </w:r>
    </w:p>
    <w:p w14:paraId="5DD65119" w14:textId="77777777" w:rsidR="00980B5A" w:rsidRPr="003F53CE" w:rsidRDefault="008A12DC" w:rsidP="00CD5DCE">
      <w:pPr>
        <w:pStyle w:val="Bullet2"/>
        <w:numPr>
          <w:ilvl w:val="0"/>
          <w:numId w:val="22"/>
        </w:numPr>
        <w:rPr>
          <w:sz w:val="20"/>
          <w:szCs w:val="20"/>
        </w:rPr>
      </w:pPr>
      <w:r>
        <w:rPr>
          <w:sz w:val="20"/>
        </w:rPr>
        <w:t>die Software auf eine Weise zu verwenden, die gegen das Gesetz verstößt</w:t>
      </w:r>
    </w:p>
    <w:p w14:paraId="7E4FDCDE" w14:textId="2A4ADA97" w:rsidR="0074401C" w:rsidRDefault="008A12DC" w:rsidP="00CD5DCE">
      <w:pPr>
        <w:pStyle w:val="Bullet2"/>
        <w:numPr>
          <w:ilvl w:val="0"/>
          <w:numId w:val="22"/>
        </w:numPr>
        <w:rPr>
          <w:sz w:val="20"/>
          <w:szCs w:val="20"/>
        </w:rPr>
      </w:pPr>
      <w:r>
        <w:rPr>
          <w:sz w:val="20"/>
        </w:rPr>
        <w:t>die Software gemeinsam zu nutzen, zu veröffentlichen, auszuleihen oder zu leasen oder die Software als eigenständig gehostete Lösung für Nutzung durch andere bereitzustellen, oder</w:t>
      </w:r>
    </w:p>
    <w:p w14:paraId="01F21E80" w14:textId="43F3C31A" w:rsidR="00980B5A" w:rsidRPr="003F53CE" w:rsidRDefault="0074401C" w:rsidP="00CD5DCE">
      <w:pPr>
        <w:pStyle w:val="Bullet2"/>
        <w:numPr>
          <w:ilvl w:val="0"/>
          <w:numId w:val="22"/>
        </w:numPr>
        <w:rPr>
          <w:sz w:val="20"/>
          <w:szCs w:val="20"/>
        </w:rPr>
      </w:pPr>
      <w:r>
        <w:rPr>
          <w:sz w:val="20"/>
        </w:rPr>
        <w:t>die Software oder diesen Vertrag an Dritte zu übertragen.</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Ausfuhrbeschränkungen</w:t>
      </w:r>
      <w:r>
        <w:rPr>
          <w:sz w:val="20"/>
        </w:rPr>
        <w:t>.</w:t>
      </w:r>
      <w:r>
        <w:rPr>
          <w:b w:val="0"/>
          <w:sz w:val="20"/>
        </w:rPr>
        <w:t xml:space="preserve">  Sie müssen alle nationalen und internationalen Exportgesetze und -bestimmungen einhalten, die für die Software gelten, darunter Beschränkungen für Bestimmungsorte, Endbenutzer und Endnutzung. Weitere Informationen zu Ausfuhrbeschränkungen finden Sie unter (aka.ms/exporting).</w:t>
      </w:r>
    </w:p>
    <w:p w14:paraId="5C861B4F" w14:textId="77777777" w:rsidR="009345C8" w:rsidRPr="003F53CE" w:rsidRDefault="009345C8" w:rsidP="00CD5DCE">
      <w:pPr>
        <w:pStyle w:val="Heading1"/>
        <w:ind w:left="540" w:hanging="360"/>
        <w:rPr>
          <w:sz w:val="20"/>
          <w:szCs w:val="20"/>
        </w:rPr>
      </w:pPr>
      <w:r>
        <w:rPr>
          <w:caps/>
          <w:sz w:val="20"/>
        </w:rPr>
        <w:t>SUPPORTDIENSTE.</w:t>
      </w:r>
      <w:r>
        <w:rPr>
          <w:sz w:val="20"/>
        </w:rPr>
        <w:t xml:space="preserve"> </w:t>
      </w:r>
      <w:r>
        <w:rPr>
          <w:b w:val="0"/>
          <w:sz w:val="20"/>
        </w:rPr>
        <w:t>Da diese Software „wie besehen“ bereitgestellt wird, stellen wir möglicherweise keine dedizierten Supportservices bereit.</w:t>
      </w:r>
    </w:p>
    <w:p w14:paraId="1FD292B9" w14:textId="77777777" w:rsidR="00980B5A" w:rsidRPr="003F53CE" w:rsidRDefault="00980B5A" w:rsidP="00CD5DCE">
      <w:pPr>
        <w:pStyle w:val="Heading1"/>
        <w:ind w:left="540" w:hanging="360"/>
        <w:rPr>
          <w:b w:val="0"/>
          <w:bCs w:val="0"/>
          <w:sz w:val="20"/>
          <w:szCs w:val="20"/>
        </w:rPr>
      </w:pPr>
      <w:r>
        <w:rPr>
          <w:caps/>
          <w:sz w:val="20"/>
        </w:rPr>
        <w:t>Gesamter Vertrag.</w:t>
      </w:r>
      <w:r>
        <w:rPr>
          <w:b w:val="0"/>
          <w:sz w:val="20"/>
        </w:rPr>
        <w:t xml:space="preserve">  Dieser Vertrag sowie die Bestimmungen für von Ihnen genutzte Ergänzungen, Updates, internetbasierte Dienste und Supportservices stellen den gesamten Vertrag über die Software und die Supportservices dar.</w:t>
      </w:r>
    </w:p>
    <w:p w14:paraId="6C5381B2" w14:textId="77777777" w:rsidR="00980B5A" w:rsidRPr="003F53CE" w:rsidRDefault="00980B5A" w:rsidP="00CD5DCE">
      <w:pPr>
        <w:pStyle w:val="Heading1"/>
        <w:ind w:left="540" w:hanging="360"/>
        <w:rPr>
          <w:color w:val="000000"/>
          <w:sz w:val="20"/>
          <w:szCs w:val="20"/>
        </w:rPr>
      </w:pPr>
      <w:r>
        <w:rPr>
          <w:caps/>
          <w:color w:val="000000"/>
          <w:sz w:val="20"/>
        </w:rPr>
        <w:t>Anwendbares Recht</w:t>
      </w:r>
      <w:r>
        <w:rPr>
          <w:color w:val="000000"/>
          <w:sz w:val="20"/>
        </w:rPr>
        <w:t xml:space="preserve">. </w:t>
      </w:r>
      <w:r>
        <w:rPr>
          <w:b w:val="0"/>
          <w:sz w:val="20"/>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14:paraId="5AA3763C" w14:textId="77777777" w:rsidR="00C821EC" w:rsidRPr="00C821EC" w:rsidRDefault="00C821EC" w:rsidP="00B06B45">
      <w:pPr>
        <w:pStyle w:val="Heading1"/>
        <w:ind w:left="540" w:hanging="360"/>
        <w:rPr>
          <w:b w:val="0"/>
          <w:sz w:val="20"/>
          <w:szCs w:val="20"/>
        </w:rPr>
      </w:pPr>
      <w:r>
        <w:rPr>
          <w:sz w:val="20"/>
        </w:rPr>
        <w:t xml:space="preserve">VERBRAUCHERRECHTE; REGIONALE VARIATIONEN. </w:t>
      </w:r>
      <w:r>
        <w:rPr>
          <w:b w:val="0"/>
          <w:sz w:val="2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t xml:space="preserve">Australien. </w:t>
      </w:r>
      <w:r>
        <w:rPr>
          <w:b w:val="0"/>
          <w:sz w:val="20"/>
        </w:rPr>
        <w:t>Nach dem Australian Consumer Law gelten gesetzliche Garantien, und es besteht an keiner Stelle dieses Vertrags die Absicht, diese Rechte einzuschränken.</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Kanada. </w:t>
      </w:r>
      <w:r>
        <w:rPr>
          <w:b w:val="0"/>
          <w:sz w:val="2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Deutschland und Österreich</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Garantie</w:t>
      </w:r>
      <w:r>
        <w:rPr>
          <w:sz w:val="20"/>
        </w:rPr>
        <w:t>. Die ordnungsgemäß lizenzierte Software verhält sich im Wesentlichen wie in allen Microsoft-Materialien beschrieben, die der Software beiliegen. Microsoft übernimmt jedoch keine vertragliche Garantie in Bezug auf die lizenzierte Software.</w:t>
      </w:r>
    </w:p>
    <w:p w14:paraId="60DDFD8F" w14:textId="787143B9" w:rsidR="00C821EC" w:rsidRPr="00C821EC" w:rsidRDefault="00C821EC" w:rsidP="00B06B45">
      <w:pPr>
        <w:ind w:left="1260"/>
        <w:rPr>
          <w:sz w:val="20"/>
          <w:szCs w:val="20"/>
        </w:rPr>
      </w:pPr>
      <w:r>
        <w:rPr>
          <w:b/>
          <w:sz w:val="20"/>
        </w:rPr>
        <w:t>ii.  Haftungsbeschränkung</w:t>
      </w:r>
      <w:r>
        <w:rPr>
          <w:sz w:val="20"/>
        </w:rPr>
        <w:t>. Microsoft haftet gemäß dem zwingenden Recht bei Vorsatz, grober Fahrlässigkeit, Ansprüchen aus Produkthaftungsgesetz sowie Körperverletzung.</w:t>
      </w:r>
    </w:p>
    <w:p w14:paraId="3F55391B" w14:textId="77777777" w:rsidR="00C821EC" w:rsidRPr="00C821EC" w:rsidRDefault="00C821EC" w:rsidP="00B06B45">
      <w:pPr>
        <w:pStyle w:val="Heading1"/>
        <w:numPr>
          <w:ilvl w:val="0"/>
          <w:numId w:val="0"/>
        </w:numPr>
        <w:ind w:left="1260"/>
        <w:rPr>
          <w:b w:val="0"/>
          <w:sz w:val="20"/>
          <w:szCs w:val="20"/>
        </w:rPr>
      </w:pPr>
      <w:r>
        <w:rPr>
          <w:b w:val="0"/>
          <w:sz w:val="20"/>
        </w:rPr>
        <w:lastRenderedPageBreak/>
        <w:t>Vorbehaltlich des vorstehenden Satzes (ii) haftet Microsoft bei leichter Fahrlässigkeit nur, wenn das Unternehmen eine wesentliche Vertragspflicht verletzt, deren Erfüllung die ordnungsgemäße Durchführung dieses Vertrages überhaupt erst ermöglicht, deren Verletzung die Erreichung des Vertragszwecks gefährdet und auf deren Einhaltung eine Partei regelmäßig vertrauen darf (sog. „Kardinalpflichten“). In anderen Fällen von leichter Fahrlässigkeit haftet Microsoft nicht.</w:t>
      </w:r>
    </w:p>
    <w:p w14:paraId="3D89C60E" w14:textId="29E89352" w:rsidR="00980B5A" w:rsidRPr="003F53CE" w:rsidRDefault="00980B5A" w:rsidP="00CD5DCE">
      <w:pPr>
        <w:pStyle w:val="Heading1"/>
        <w:ind w:left="540" w:hanging="360"/>
        <w:rPr>
          <w:caps/>
          <w:sz w:val="20"/>
          <w:szCs w:val="20"/>
        </w:rPr>
      </w:pPr>
      <w:r>
        <w:rPr>
          <w:caps/>
          <w:sz w:val="20"/>
        </w:rPr>
        <w:t>AUSSCHLUSS VON GARANTIEN.</w:t>
      </w:r>
      <w:r>
        <w:rPr>
          <w:sz w:val="20"/>
        </w:rPr>
        <w:t xml:space="preserve">   </w:t>
      </w:r>
      <w:r>
        <w:rPr>
          <w:caps/>
          <w:sz w:val="20"/>
        </w:rPr>
        <w:t>Die Software wird „wie verfügbar“ lizenziert.  Sie tragen das mit der Nutzung verbundene Risiko.  Microsoft gewährt keine ausdrücklichen Gewährleistungen oder Garantien.  In dem nach Ihrem örtlich anwendbaren Recht zulässigen Umfang schließt Microsoft konkludente Garantien der Handlungsüblichkeit, Eignung für einen bestimmten Zweck und Nichtverletzung von Rechten Dritter aus.</w:t>
      </w:r>
    </w:p>
    <w:p w14:paraId="697FCB91" w14:textId="5A687173" w:rsidR="00980B5A" w:rsidRPr="003F53CE" w:rsidRDefault="00980B5A" w:rsidP="00CD5DCE">
      <w:pPr>
        <w:pStyle w:val="Heading1"/>
        <w:ind w:left="540" w:hanging="360"/>
        <w:rPr>
          <w:caps/>
          <w:sz w:val="20"/>
          <w:szCs w:val="20"/>
        </w:rPr>
      </w:pPr>
      <w:r>
        <w:rPr>
          <w:caps/>
          <w:sz w:val="20"/>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14:paraId="20C77E71" w14:textId="5E28ADF2" w:rsidR="00980B5A" w:rsidRPr="003F53CE" w:rsidRDefault="00980B5A" w:rsidP="00CD5DCE">
      <w:pPr>
        <w:pStyle w:val="Body1"/>
        <w:ind w:left="540"/>
        <w:rPr>
          <w:sz w:val="20"/>
          <w:szCs w:val="20"/>
        </w:rPr>
      </w:pPr>
      <w:r>
        <w:rPr>
          <w:sz w:val="20"/>
        </w:rPr>
        <w:t>Diese Einschränkung gilt für (a) 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14:paraId="204A8706" w14:textId="77777777" w:rsidR="00980B5A" w:rsidRPr="003F53CE" w:rsidRDefault="00980B5A" w:rsidP="00CD5DCE">
      <w:pPr>
        <w:ind w:left="540"/>
        <w:rPr>
          <w:sz w:val="20"/>
          <w:szCs w:val="20"/>
        </w:rPr>
      </w:pPr>
      <w:r>
        <w:rPr>
          <w:sz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1117A35F" w14:textId="545BE0CB" w:rsidR="00DE4BDF" w:rsidRDefault="00DE4BDF">
      <w:pPr>
        <w:rPr>
          <w:rFonts w:cs="Times New Roman"/>
          <w:sz w:val="20"/>
          <w:szCs w:val="20"/>
        </w:rPr>
      </w:pPr>
    </w:p>
    <w:p w14:paraId="63CB9C38" w14:textId="3E038B5A" w:rsidR="0024347A" w:rsidRPr="00EF0B4C" w:rsidRDefault="002868BC">
      <w:pPr>
        <w:rPr>
          <w:rFonts w:cs="Times New Roman"/>
          <w:sz w:val="20"/>
          <w:szCs w:val="20"/>
        </w:rPr>
      </w:pPr>
      <w:r w:rsidRPr="002868BC">
        <w:rPr>
          <w:rFonts w:cs="Times New Roman"/>
          <w:sz w:val="20"/>
          <w:szCs w:val="20"/>
        </w:rPr>
        <w:t>TFS2018_UPDATE_</w:t>
      </w:r>
      <w:bookmarkStart w:id="0" w:name="_GoBack"/>
      <w:bookmarkEnd w:id="0"/>
      <w:r>
        <w:rPr>
          <w:rFonts w:cs="Times New Roman"/>
          <w:sz w:val="20"/>
          <w:szCs w:val="20"/>
        </w:rPr>
        <w:t>DEU</w:t>
      </w:r>
    </w:p>
    <w:sectPr w:rsidR="0024347A"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18F6" w14:textId="77777777" w:rsidR="000F6B94" w:rsidRDefault="000F6B94">
      <w:pPr>
        <w:rPr>
          <w:rFonts w:cs="Times New Roman"/>
        </w:rPr>
      </w:pPr>
      <w:r>
        <w:rPr>
          <w:rFonts w:cs="Times New Roman"/>
        </w:rPr>
        <w:separator/>
      </w:r>
    </w:p>
  </w:endnote>
  <w:endnote w:type="continuationSeparator" w:id="0">
    <w:p w14:paraId="03870999" w14:textId="77777777" w:rsidR="000F6B94" w:rsidRDefault="000F6B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CDD6" w14:textId="77777777" w:rsidR="000F6B94" w:rsidRDefault="000F6B94">
      <w:pPr>
        <w:rPr>
          <w:rFonts w:cs="Times New Roman"/>
        </w:rPr>
      </w:pPr>
      <w:r>
        <w:rPr>
          <w:rFonts w:cs="Times New Roman"/>
        </w:rPr>
        <w:separator/>
      </w:r>
    </w:p>
  </w:footnote>
  <w:footnote w:type="continuationSeparator" w:id="0">
    <w:p w14:paraId="3C96D1F8" w14:textId="77777777" w:rsidR="000F6B94" w:rsidRDefault="000F6B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6B94"/>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4347A"/>
    <w:rsid w:val="00266D6A"/>
    <w:rsid w:val="00273512"/>
    <w:rsid w:val="00280D5E"/>
    <w:rsid w:val="002868BC"/>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12D2"/>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de-DE" w:eastAsia="de-DE"/>
    </w:rPr>
  </w:style>
  <w:style w:type="character" w:customStyle="1" w:styleId="Body3Char">
    <w:name w:val="Body 3 Char"/>
    <w:basedOn w:val="DefaultParagraphFont"/>
    <w:uiPriority w:val="99"/>
    <w:locked/>
    <w:rsid w:val="00FD2BC3"/>
    <w:rPr>
      <w:rFonts w:ascii="Tahoma" w:hAnsi="Tahoma" w:cs="Tahoma"/>
      <w:lang w:val="de-DE" w:eastAsia="de-DE"/>
    </w:rPr>
  </w:style>
  <w:style w:type="character" w:customStyle="1" w:styleId="Body4Char">
    <w:name w:val="Body 4 Char"/>
    <w:basedOn w:val="DefaultParagraphFont"/>
    <w:uiPriority w:val="99"/>
    <w:locked/>
    <w:rsid w:val="00FD2BC3"/>
    <w:rPr>
      <w:rFonts w:ascii="Tahoma" w:hAnsi="Tahoma" w:cs="Tahoma"/>
      <w:lang w:val="de-DE" w:eastAsia="de-DE"/>
    </w:rPr>
  </w:style>
  <w:style w:type="character" w:customStyle="1" w:styleId="Body1Char">
    <w:name w:val="Body 1 Char"/>
    <w:basedOn w:val="DefaultParagraphFont"/>
    <w:uiPriority w:val="99"/>
    <w:locked/>
    <w:rsid w:val="00FD2BC3"/>
    <w:rPr>
      <w:rFonts w:ascii="Tahoma" w:hAnsi="Tahoma" w:cs="Tahoma"/>
      <w:lang w:val="de-DE" w:eastAsia="de-DE"/>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de-DE" w:eastAsia="de-DE"/>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94CA-ADA4-42E9-B3D8-21225B56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11794</Characters>
  <Application>Microsoft Office Word</Application>
  <DocSecurity>0</DocSecurity>
  <Lines>98</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2018-04-04T18:19:39.3591317Z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