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УСЛОВИЯ ЛИЦЕНЗИОННОГО СОГЛАШЕНИЯ НА ИСПОЛЬЗОВАНИЕ ПРЕДВАРИТЕЛЬНОЙ ВЕРСИИ ПРОГРАММНОГО ОБЕСПЕЧЕНИЯ КОРПОРАЦИИ MICROSOFT</w:t>
      </w:r>
    </w:p>
    <w:p w14:paraId="67075120" w14:textId="60F149CD" w:rsidR="00980B5A" w:rsidRPr="000C21FA" w:rsidRDefault="00980B5A" w:rsidP="00225AB3">
      <w:pPr>
        <w:pStyle w:val="HeadingSoftwareTitle"/>
        <w:rPr>
          <w:lang w:val="en-US"/>
        </w:rPr>
      </w:pPr>
      <w:r w:rsidRPr="000C21FA">
        <w:rPr>
          <w:lang w:val="en-US"/>
        </w:rP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вышеуказанной предварительной версии программного обеспечения.  Эти условия применяются также ко всем услугам или обновлениям корпорации Microsoft для данного программного обеспечения, если они не сопровождаются дополнительными условиями.</w:t>
      </w:r>
    </w:p>
    <w:p w14:paraId="4E7F1821" w14:textId="77777777" w:rsidR="00980B5A" w:rsidRPr="00EF0B4C" w:rsidRDefault="00980B5A" w:rsidP="00D75D8F">
      <w:pPr>
        <w:pStyle w:val="PreambleBorderAbove"/>
        <w:rPr>
          <w:sz w:val="20"/>
          <w:szCs w:val="20"/>
        </w:rPr>
      </w:pPr>
      <w:r>
        <w:rPr>
          <w:sz w:val="20"/>
        </w:rPr>
        <w:t>Если вы выполняете условия данной лицензии, вам предоставляются указанные ниже права.</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ОПРЕДЕЛЕНИЯ.</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«Сервер» — это физическое устройство, на котором может работать серверное программное обеспечение. Каждый аппаратный раздел или стоечный модуль считается отдельным физическим устройством.</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«Дополнительное программное обеспечение» означает следующее:</w:t>
      </w:r>
    </w:p>
    <w:p w14:paraId="4DFE0D0C" w14:textId="77777777" w:rsidR="00273512" w:rsidRPr="000C21FA" w:rsidRDefault="00273512" w:rsidP="007D6791">
      <w:pPr>
        <w:pStyle w:val="Bullet3"/>
        <w:numPr>
          <w:ilvl w:val="1"/>
          <w:numId w:val="15"/>
        </w:numPr>
        <w:ind w:left="1710" w:hanging="540"/>
        <w:rPr>
          <w:sz w:val="20"/>
          <w:szCs w:val="20"/>
          <w:lang w:val="en-US"/>
        </w:rPr>
      </w:pPr>
      <w:r>
        <w:rPr>
          <w:sz w:val="20"/>
        </w:rPr>
        <w:t>Службы</w:t>
      </w:r>
      <w:r w:rsidRPr="000C21FA">
        <w:rPr>
          <w:sz w:val="20"/>
          <w:lang w:val="en-US"/>
        </w:rPr>
        <w:t xml:space="preserve"> </w:t>
      </w:r>
      <w:r>
        <w:rPr>
          <w:sz w:val="20"/>
        </w:rPr>
        <w:t>построения</w:t>
      </w:r>
      <w:r w:rsidRPr="000C21FA">
        <w:rPr>
          <w:sz w:val="20"/>
          <w:lang w:val="en-US"/>
        </w:rPr>
        <w:t xml:space="preserve"> Visual Studio Team Foundation</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rPr>
        <w:t>Использование в облачных службах</w:t>
      </w:r>
      <w:r>
        <w:rPr>
          <w:b/>
          <w:sz w:val="20"/>
        </w:rPr>
        <w:t>.</w:t>
      </w:r>
      <w:r>
        <w:rPr>
          <w:sz w:val="20"/>
        </w:rPr>
        <w:t xml:space="preserve"> Вы можете запускать предварительные версии программного обеспечения Visual Studio Team Foundation Server 2018 на платформе Microsoft Azure.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ПРАВА НА УСТАНОВКУ И ИСПОЛЬЗОВАНИЕ.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Если Вы соблюдаете указанные условия лицензии, Вы можете устанавливать и использовать копии данного программного обеспечения на Серверах, расположенных на территории Вашего предприятия, и использовать данноке программное обеспечение в производственной среде для проектирования, разработки и тестирования Ваших приложений при условии, что:</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Вы предпринимаете надлежащие меры предосторожности для создания резервных копий и защиты своих данных;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Вы соглашаетесь немедленно прекратить использование при получении уведомления от корпорации Microsoft; и </w:t>
      </w:r>
    </w:p>
    <w:p w14:paraId="723055DD" w14:textId="77777777" w:rsidR="002E30CE" w:rsidRPr="00EF0B4C" w:rsidRDefault="002E30CE" w:rsidP="002202C7">
      <w:pPr>
        <w:pStyle w:val="Heading3"/>
        <w:tabs>
          <w:tab w:val="num" w:pos="1077"/>
        </w:tabs>
        <w:ind w:left="1728" w:hanging="468"/>
        <w:rPr>
          <w:bCs/>
          <w:sz w:val="20"/>
          <w:szCs w:val="20"/>
        </w:rPr>
      </w:pPr>
      <w:r>
        <w:rPr>
          <w:sz w:val="20"/>
        </w:rPr>
        <w:t>к такой производственной среде могут иметь доступ только Ваши сотрудники или подрядчики.</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Вы имеете право установить и использовать копии Дополнительного программного обеспечения на любом количестве своих устройств.  Вы имеете право использовать Дополнительное программное обеспечение только с Серверным программным обеспечением.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ПРЕДВАРИТЕЛЬНАЯ ВЕРСИЯ ПРОГРАММНОГО ОБЕСПЕЧЕНИЯ.</w:t>
      </w:r>
      <w:r>
        <w:rPr>
          <w:b w:val="0"/>
          <w:sz w:val="20"/>
        </w:rPr>
        <w:t xml:space="preserve">  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программного обеспечения.  Корпорация Microsoft может заменить данную версию окончательной коммерческой версией.  Корпорация Microsoft также может не выпустить коммерческую версию данного программного обеспечения.  Корпорация Microsoft не обязана </w:t>
      </w:r>
      <w:r>
        <w:rPr>
          <w:b w:val="0"/>
          <w:sz w:val="20"/>
        </w:rPr>
        <w:lastRenderedPageBreak/>
        <w:t>предоставлять услуги по сопровождению, а также техническую поддержку или обновление программного обеспечения. </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Включенные программы Microsoft.</w:t>
      </w:r>
      <w:r>
        <w:rPr>
          <w:sz w:val="20"/>
        </w:rPr>
        <w:t xml:space="preserve">  </w:t>
      </w:r>
      <w:r>
        <w:rPr>
          <w:b w:val="0"/>
          <w:sz w:val="20"/>
        </w:rPr>
        <w:t xml:space="preserve">Данные условия лицензии распространяются на все программы Microsoft, включенные в программное обеспечение, за исключением случаев, оговоренных в настоящем соглашении.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Pr>
          <w:caps/>
          <w:sz w:val="20"/>
        </w:rPr>
        <w:t>КОМПОНЕНТЫ третьих лиц</w:t>
      </w:r>
      <w:r>
        <w:rPr>
          <w:sz w:val="20"/>
        </w:rPr>
        <w:t xml:space="preserve">.   </w:t>
      </w:r>
      <w:r>
        <w:rPr>
          <w:b w:val="0"/>
          <w:sz w:val="20"/>
        </w:rPr>
        <w:t xml:space="preserve">Программное обеспечение может включать компоненты третьих лиц, которые сопровождаются отдельными правовыми оговорками или подпадают под действие других договоров. Соответствующие сведения см. в файле ThirdPartyNotices, который предоставляется с программным обеспечением.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t xml:space="preserve">ОБНОВЛЕНИЯ  </w:t>
      </w:r>
      <w:r>
        <w:rPr>
          <w:b w:val="0"/>
          <w:sz w:val="20"/>
        </w:rPr>
        <w:t>Если корпорация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14:paraId="2ADC668D" w14:textId="77777777" w:rsidR="00A07929" w:rsidRPr="00A07929" w:rsidRDefault="00FA27B5" w:rsidP="00B73461">
      <w:pPr>
        <w:pStyle w:val="Heading1"/>
        <w:tabs>
          <w:tab w:val="clear" w:pos="990"/>
        </w:tabs>
        <w:ind w:left="540" w:hanging="360"/>
        <w:rPr>
          <w:b w:val="0"/>
          <w:sz w:val="20"/>
          <w:szCs w:val="20"/>
        </w:rPr>
      </w:pPr>
      <w:r>
        <w:rPr>
          <w:sz w:val="20"/>
        </w:rPr>
        <w:t xml:space="preserve">ДАННЫЕ.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t>Сбор данных.</w:t>
      </w:r>
      <w:r>
        <w:rPr>
          <w:sz w:val="20"/>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данном программном обеспечении также есть некоторые функции, которые могут позволить Вам собирать данные у пользователей ваших приложений. Если Вы используете эти функции, чтобы активировать сбор данных в своих приложениях, Вы должны соблюдать применимое право, в том числе предоставлять соответствующие уведомления пользователям Ваших приложений. </w:t>
      </w:r>
      <w:r>
        <w:t>Дополнительные сведения о сборе и использовании данных см. в справочной документации и заявлении о конфиденциальности, представленном на странице</w:t>
      </w:r>
      <w:r>
        <w:rPr>
          <w:sz w:val="20"/>
        </w:rPr>
        <w:t xml:space="preserve"> </w:t>
      </w:r>
      <w:hyperlink r:id="rId8">
        <w:r>
          <w:rPr>
            <w:sz w:val="20"/>
          </w:rPr>
          <w:t>https://go.microsoft.com/fwlink/?linkid=853472</w:t>
        </w:r>
      </w:hyperlink>
      <w:r>
        <w:rPr>
          <w:sz w:val="20"/>
        </w:rPr>
        <w:t>.  Использование Вами данного программного обеспечения означает, что Вы принимаете данные правила.</w:t>
      </w:r>
    </w:p>
    <w:p w14:paraId="5B8CEA37" w14:textId="19A274AC" w:rsidR="00D04D1C" w:rsidRPr="00A07929" w:rsidRDefault="00A07929" w:rsidP="00F07102">
      <w:pPr>
        <w:pStyle w:val="Bullet3"/>
        <w:numPr>
          <w:ilvl w:val="0"/>
          <w:numId w:val="38"/>
        </w:numPr>
        <w:spacing w:before="0"/>
        <w:ind w:left="1080"/>
        <w:rPr>
          <w:sz w:val="20"/>
          <w:szCs w:val="20"/>
        </w:rPr>
      </w:pPr>
      <w:r>
        <w:rPr>
          <w:b/>
        </w:rPr>
        <w:t>Обработка Персональных данных.</w:t>
      </w:r>
      <w:r>
        <w:rPr>
          <w:sz w:val="20"/>
        </w:rPr>
        <w:t xml:space="preserve"> </w:t>
      </w:r>
      <w:r>
        <w:t>В случаях, когда корпорация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 (см.</w:t>
      </w:r>
      <w:hyperlink r:id="rId9">
        <w:r>
          <w:rPr>
            <w:rStyle w:val="Hyperlink"/>
          </w:rPr>
          <w:t>http://go.microsoft.com/?linkid=9840733</w:t>
        </w:r>
      </w:hyperlink>
      <w:r>
        <w:t>.</w:t>
      </w:r>
    </w:p>
    <w:p w14:paraId="48022043" w14:textId="5E688B9D" w:rsidR="00980B5A" w:rsidRPr="003F53CE" w:rsidRDefault="00980B5A" w:rsidP="00CD5DCE">
      <w:pPr>
        <w:pStyle w:val="Heading1"/>
        <w:ind w:left="540" w:hanging="360"/>
        <w:rPr>
          <w:sz w:val="20"/>
          <w:szCs w:val="20"/>
        </w:rPr>
      </w:pPr>
      <w:r>
        <w:rPr>
          <w:sz w:val="20"/>
        </w:rPr>
        <w:t xml:space="preserve">ОТЗЫВЫ. </w:t>
      </w:r>
      <w:r>
        <w:rPr>
          <w:b w:val="0"/>
          <w:sz w:val="20"/>
        </w:rPr>
        <w:t xml:space="preserve"> Если Вы предоставляете корпорации Microsoft отзыв о программном обеспечении, Вы бесплатно предоставляете корпорации Microsoft право передавать отзыв третьим лицам и использовать его в коммерческих целях любым способом и с любыми намерениями.    Вы обязуетесь не предоставлять корпорации Microsoft никаких отзывов, подпадающих под действие лицензии,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условия остаются в силе после окончания срока действия данного соглашения.</w:t>
      </w:r>
    </w:p>
    <w:p w14:paraId="149C93D8" w14:textId="77777777" w:rsidR="00E068AF" w:rsidRPr="003F53CE" w:rsidRDefault="00FA27B5" w:rsidP="00CD5DCE">
      <w:pPr>
        <w:pStyle w:val="Heading1"/>
        <w:ind w:left="540" w:hanging="360"/>
        <w:rPr>
          <w:sz w:val="20"/>
          <w:szCs w:val="20"/>
        </w:rPr>
      </w:pPr>
      <w:r>
        <w:rPr>
          <w:sz w:val="20"/>
        </w:rPr>
        <w:t xml:space="preserve">ПЛАТФОРМЫ MICROSOFT. </w:t>
      </w:r>
      <w:r>
        <w:rPr>
          <w:b w:val="0"/>
          <w:sz w:val="20"/>
        </w:rPr>
        <w:t>Программное обеспечение может включать компоненты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w:t>
      </w:r>
      <w:r>
        <w:rPr>
          <w:rFonts w:ascii="Garamond" w:hAnsi="Garamond"/>
          <w:b w:val="0"/>
          <w:color w:val="002060"/>
          <w:sz w:val="20"/>
        </w:rPr>
        <w:t xml:space="preserve"> </w:t>
      </w:r>
      <w:r>
        <w:rPr>
          <w:b w:val="0"/>
          <w:sz w:val="20"/>
        </w:rPr>
        <w:t>условиях лицензии, которые можно найти в каталоге установки таких компонентов или в папке «Лицензии», прилагающейся к программному обеспечению.</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lastRenderedPageBreak/>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В дополнение к условиям использования Платформы Microsoft вы имеете право использовать только один экземпляр SQL Server 2016 Standard Edition в одной физической либо в одной виртуальной операционной среде на одном сервере исключительно для поддержки программного обеспечения. Для такого ограниченного использования Клиентские лицензии на SQL Server не требуются. </w:t>
      </w:r>
    </w:p>
    <w:p w14:paraId="4FB73AE0" w14:textId="554D8F06" w:rsidR="00980B5A" w:rsidRPr="003F53CE" w:rsidRDefault="00980B5A" w:rsidP="00CD5DCE">
      <w:pPr>
        <w:pStyle w:val="Heading1"/>
        <w:ind w:left="540" w:hanging="360"/>
        <w:rPr>
          <w:sz w:val="20"/>
          <w:szCs w:val="20"/>
        </w:rPr>
      </w:pPr>
      <w:r>
        <w:rPr>
          <w:caps/>
          <w:sz w:val="20"/>
        </w:rPr>
        <w:t>Область применения лицензии</w:t>
      </w:r>
      <w:r>
        <w:rPr>
          <w:sz w:val="20"/>
        </w:rPr>
        <w:t>.</w:t>
      </w:r>
      <w:r>
        <w:rPr>
          <w:b w:val="0"/>
          <w:sz w:val="20"/>
        </w:rPr>
        <w:t xml:space="preserve">  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0414BB0A" w14:textId="77777777" w:rsidR="00980B5A" w:rsidRPr="000E036B" w:rsidRDefault="00980B5A" w:rsidP="00CD5DCE">
      <w:pPr>
        <w:pStyle w:val="Bullet2"/>
        <w:numPr>
          <w:ilvl w:val="0"/>
          <w:numId w:val="22"/>
        </w:numPr>
        <w:rPr>
          <w:sz w:val="20"/>
          <w:szCs w:val="20"/>
        </w:rPr>
      </w:pPr>
      <w:r>
        <w:rPr>
          <w:sz w:val="20"/>
        </w:rPr>
        <w:t>пытаться обойти технические ограничения в программном обеспечении;</w:t>
      </w:r>
    </w:p>
    <w:p w14:paraId="2A583105" w14:textId="04C65AD6" w:rsidR="00DB1DC6" w:rsidRPr="003F53CE" w:rsidRDefault="00DB1DC6" w:rsidP="00CD5DCE">
      <w:pPr>
        <w:pStyle w:val="Bullet2"/>
        <w:numPr>
          <w:ilvl w:val="0"/>
          <w:numId w:val="22"/>
        </w:numPr>
        <w:rPr>
          <w:rFonts w:eastAsia="SimSun"/>
          <w:sz w:val="20"/>
          <w:szCs w:val="20"/>
        </w:rPr>
      </w:pPr>
      <w:r>
        <w:rPr>
          <w:sz w:val="20"/>
        </w:rPr>
        <w:t>изучать технологию, декомпилировать или деассемблировать программное обеспечение, а также предпринимать попытки сделать это, за исключением случаев и только в той степени, в которой это необходимо в соответствии с условиями лицензий третьих лиц, регулирующими использование определенных компонентов с открытым исходным кодом, которые могут поставляться вместе с программным обеспечением;</w:t>
      </w:r>
    </w:p>
    <w:p w14:paraId="145D641C" w14:textId="77777777" w:rsidR="00980B5A" w:rsidRPr="003F53CE" w:rsidRDefault="008A12DC" w:rsidP="00CD5DCE">
      <w:pPr>
        <w:pStyle w:val="Bullet2"/>
        <w:numPr>
          <w:ilvl w:val="0"/>
          <w:numId w:val="22"/>
        </w:numPr>
        <w:rPr>
          <w:sz w:val="20"/>
          <w:szCs w:val="20"/>
        </w:rPr>
      </w:pPr>
      <w:r>
        <w:rPr>
          <w:sz w:val="20"/>
        </w:rPr>
        <w:t>удалять, сокращать, блокировать или изменять уведомления от Microsoft или поставщиков Microsoft, включенные в данное программное обеспечение;</w:t>
      </w:r>
    </w:p>
    <w:p w14:paraId="5DD65119" w14:textId="77777777" w:rsidR="00980B5A" w:rsidRPr="003F53CE" w:rsidRDefault="008A12DC" w:rsidP="00CD5DCE">
      <w:pPr>
        <w:pStyle w:val="Bullet2"/>
        <w:numPr>
          <w:ilvl w:val="0"/>
          <w:numId w:val="22"/>
        </w:numPr>
        <w:rPr>
          <w:sz w:val="20"/>
          <w:szCs w:val="20"/>
        </w:rPr>
      </w:pPr>
      <w:r>
        <w:rPr>
          <w:sz w:val="20"/>
        </w:rPr>
        <w:t>использовать программное обеспечение каким-либо противозаконным способом;</w:t>
      </w:r>
    </w:p>
    <w:p w14:paraId="7E4FDCDE" w14:textId="2A4ADA97" w:rsidR="0074401C" w:rsidRDefault="008A12DC" w:rsidP="00CD5DCE">
      <w:pPr>
        <w:pStyle w:val="Bullet2"/>
        <w:numPr>
          <w:ilvl w:val="0"/>
          <w:numId w:val="22"/>
        </w:numPr>
        <w:rPr>
          <w:sz w:val="20"/>
          <w:szCs w:val="20"/>
        </w:rPr>
      </w:pPr>
      <w:r>
        <w:rPr>
          <w:sz w:val="20"/>
        </w:rPr>
        <w:t>предоставлять общий доступ к данному программному обеспечению, предоставлять его в прокат или аренду либо предоставлять программное обеспечение как изолированное размещенное решение для использования другими лицами;</w:t>
      </w:r>
    </w:p>
    <w:p w14:paraId="01F21E80" w14:textId="43F3C31A" w:rsidR="00980B5A" w:rsidRPr="003F53CE" w:rsidRDefault="0074401C" w:rsidP="00CD5DCE">
      <w:pPr>
        <w:pStyle w:val="Bullet2"/>
        <w:numPr>
          <w:ilvl w:val="0"/>
          <w:numId w:val="22"/>
        </w:numPr>
        <w:rPr>
          <w:sz w:val="20"/>
          <w:szCs w:val="20"/>
        </w:rPr>
      </w:pPr>
      <w:r>
        <w:rPr>
          <w:sz w:val="20"/>
        </w:rPr>
        <w:t>передавать программное обеспечение или это соглашение третьим лицам.</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Pr>
          <w:caps/>
          <w:sz w:val="20"/>
        </w:rPr>
        <w:t>Ограничения относительно экспорта</w:t>
      </w:r>
      <w:r>
        <w:rPr>
          <w:sz w:val="20"/>
        </w:rPr>
        <w:t>.</w:t>
      </w:r>
      <w:r>
        <w:rPr>
          <w:b w:val="0"/>
          <w:sz w:val="20"/>
        </w:rPr>
        <w:t xml:space="preserve">  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ограничениях на экспорт см. на сайте (aka.ms/exporting).</w:t>
      </w:r>
    </w:p>
    <w:p w14:paraId="5C861B4F" w14:textId="77777777" w:rsidR="009345C8" w:rsidRPr="003F53CE" w:rsidRDefault="009345C8" w:rsidP="00CD5DCE">
      <w:pPr>
        <w:pStyle w:val="Heading1"/>
        <w:ind w:left="540" w:hanging="360"/>
        <w:rPr>
          <w:sz w:val="20"/>
          <w:szCs w:val="20"/>
        </w:rPr>
      </w:pPr>
      <w:r>
        <w:rPr>
          <w:caps/>
          <w:sz w:val="20"/>
        </w:rPr>
        <w:t>УСЛУГИ ТЕХНИЧЕСКОЙ ПОДДЕРЖКИ.</w:t>
      </w:r>
      <w:r>
        <w:rPr>
          <w:sz w:val="20"/>
        </w:rPr>
        <w:t xml:space="preserve"> </w:t>
      </w:r>
      <w:r>
        <w:rPr>
          <w:b w:val="0"/>
          <w:sz w:val="20"/>
        </w:rPr>
        <w:t>Так как это программное обеспечение предоставляется «как есть», Acompli может не предоставлять услуг по его технической поддержке.</w:t>
      </w:r>
    </w:p>
    <w:p w14:paraId="1FD292B9" w14:textId="77777777" w:rsidR="00980B5A" w:rsidRPr="003F53CE" w:rsidRDefault="00980B5A" w:rsidP="00CD5DCE">
      <w:pPr>
        <w:pStyle w:val="Heading1"/>
        <w:ind w:left="540" w:hanging="360"/>
        <w:rPr>
          <w:b w:val="0"/>
          <w:bCs w:val="0"/>
          <w:sz w:val="20"/>
          <w:szCs w:val="20"/>
        </w:rPr>
      </w:pPr>
      <w:r>
        <w:rPr>
          <w:caps/>
          <w:sz w:val="20"/>
        </w:rPr>
        <w:t>Полное соглашение.</w:t>
      </w:r>
      <w:r>
        <w:rPr>
          <w:b w:val="0"/>
          <w:sz w:val="20"/>
        </w:rPr>
        <w:t xml:space="preserve">  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6C5381B2" w14:textId="77777777" w:rsidR="00980B5A" w:rsidRPr="003F53CE" w:rsidRDefault="00980B5A" w:rsidP="00CD5DCE">
      <w:pPr>
        <w:pStyle w:val="Heading1"/>
        <w:ind w:left="540" w:hanging="360"/>
        <w:rPr>
          <w:color w:val="000000"/>
          <w:sz w:val="20"/>
          <w:szCs w:val="20"/>
        </w:rPr>
      </w:pPr>
      <w:r>
        <w:t>Применимое право.</w:t>
      </w:r>
      <w:r>
        <w:rPr>
          <w:color w:val="000000"/>
          <w:sz w:val="20"/>
        </w:rPr>
        <w:t xml:space="preserve"> </w:t>
      </w:r>
      <w:r>
        <w:rPr>
          <w:b w:val="0"/>
          <w:sz w:val="20"/>
        </w:rPr>
        <w:t>Если вы приобрели данное программное обеспечение в Соединенных Штатах,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5AA3763C" w14:textId="77777777" w:rsidR="00C821EC" w:rsidRPr="00C821EC" w:rsidRDefault="00C821EC" w:rsidP="00B06B45">
      <w:pPr>
        <w:pStyle w:val="Heading1"/>
        <w:ind w:left="540" w:hanging="360"/>
        <w:rPr>
          <w:b w:val="0"/>
          <w:sz w:val="20"/>
          <w:szCs w:val="20"/>
        </w:rPr>
      </w:pPr>
      <w:r>
        <w:rPr>
          <w:sz w:val="20"/>
        </w:rPr>
        <w:lastRenderedPageBreak/>
        <w:t xml:space="preserve">ПРАВА ПОТРЕБИТЕЛЕЙ, РЕГИОНАЛЬНЫЕ ОТЛИЧИЯ. </w:t>
      </w:r>
      <w:r>
        <w:rPr>
          <w:b w:val="0"/>
          <w:sz w:val="2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корпорацией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4BFBBD47" w14:textId="033C495A" w:rsidR="00C821EC" w:rsidRPr="00C821EC" w:rsidRDefault="00C821EC" w:rsidP="00B06B45">
      <w:pPr>
        <w:pStyle w:val="Heading2"/>
        <w:numPr>
          <w:ilvl w:val="0"/>
          <w:numId w:val="29"/>
        </w:numPr>
        <w:ind w:left="1080" w:hanging="357"/>
        <w:rPr>
          <w:b w:val="0"/>
          <w:sz w:val="20"/>
          <w:szCs w:val="20"/>
        </w:rPr>
      </w:pPr>
      <w:r>
        <w:rPr>
          <w:sz w:val="20"/>
        </w:rPr>
        <w:t xml:space="preserve">Австралия. </w:t>
      </w:r>
      <w:r>
        <w:rPr>
          <w:b w:val="0"/>
          <w:sz w:val="2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 xml:space="preserve">Канада. </w:t>
      </w:r>
      <w:r>
        <w:rPr>
          <w:b w:val="0"/>
          <w:sz w:val="20"/>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(при повторном подключении устройства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Германия и Австрия</w:t>
      </w:r>
      <w:r>
        <w:rPr>
          <w:b w:val="0"/>
          <w:sz w:val="20"/>
        </w:rPr>
        <w:t>.</w:t>
      </w:r>
    </w:p>
    <w:p w14:paraId="21C01478" w14:textId="77777777" w:rsidR="00C821EC" w:rsidRPr="00C821EC" w:rsidRDefault="00C821EC" w:rsidP="00B06B45">
      <w:pPr>
        <w:ind w:left="1260"/>
        <w:rPr>
          <w:sz w:val="20"/>
          <w:szCs w:val="20"/>
        </w:rPr>
      </w:pPr>
      <w:r>
        <w:rPr>
          <w:b/>
          <w:sz w:val="20"/>
        </w:rPr>
        <w:t>i.</w:t>
      </w:r>
      <w:r>
        <w:tab/>
      </w:r>
      <w:r>
        <w:rPr>
          <w:b/>
          <w:sz w:val="20"/>
        </w:rPr>
        <w:t>Гарантия</w:t>
      </w:r>
      <w:r>
        <w:rPr>
          <w:sz w:val="20"/>
        </w:rPr>
        <w:t>. Надлежащим образом лицензированное программное обеспечение будет в основном функционировать, как описано в каких-либо материалах корпорации Microsoft, сопровождающих это программное обеспечение. Однако корпорация Microsoft не предоставляет никаких договорных гарантий в отношении лицензированного программного обеспечения.</w:t>
      </w:r>
    </w:p>
    <w:p w14:paraId="60DDFD8F" w14:textId="787143B9" w:rsidR="00C821EC" w:rsidRPr="00C821EC" w:rsidRDefault="00C821EC" w:rsidP="00B06B45">
      <w:pPr>
        <w:ind w:left="1260"/>
        <w:rPr>
          <w:sz w:val="20"/>
          <w:szCs w:val="20"/>
        </w:rPr>
      </w:pPr>
      <w:r>
        <w:rPr>
          <w:b/>
          <w:sz w:val="20"/>
        </w:rPr>
        <w:t>II.  Ограничение ответственности</w:t>
      </w:r>
      <w:r>
        <w:rPr>
          <w:sz w:val="20"/>
        </w:rPr>
        <w:t>.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3F55391B" w14:textId="77777777" w:rsidR="00C821EC" w:rsidRPr="00C821EC" w:rsidRDefault="00C821EC" w:rsidP="00B06B45">
      <w:pPr>
        <w:pStyle w:val="Heading1"/>
        <w:numPr>
          <w:ilvl w:val="0"/>
          <w:numId w:val="0"/>
        </w:numPr>
        <w:ind w:left="1260"/>
        <w:rPr>
          <w:b w:val="0"/>
          <w:sz w:val="20"/>
          <w:szCs w:val="20"/>
        </w:rPr>
      </w:pPr>
      <w:r>
        <w:rPr>
          <w:b w:val="0"/>
          <w:sz w:val="20"/>
        </w:rPr>
        <w:t>В соответствии с пунктом II выше, в случае незначительной неосторожности копорация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3D89C60E" w14:textId="29E89352" w:rsidR="00980B5A" w:rsidRPr="003F53CE" w:rsidRDefault="00980B5A" w:rsidP="00CD5DCE">
      <w:pPr>
        <w:pStyle w:val="Heading1"/>
        <w:ind w:left="540" w:hanging="360"/>
        <w:rPr>
          <w:caps/>
          <w:sz w:val="20"/>
          <w:szCs w:val="20"/>
        </w:rPr>
      </w:pPr>
      <w:r>
        <w:rPr>
          <w:caps/>
          <w:sz w:val="20"/>
        </w:rPr>
        <w:t>Заявление об отказе от предоставления гарантий.</w:t>
      </w:r>
      <w:r>
        <w:rPr>
          <w:sz w:val="20"/>
        </w:rPr>
        <w:t xml:space="preserve">   </w:t>
      </w:r>
      <w:r>
        <w:rPr>
          <w:caps/>
          <w:sz w:val="20"/>
        </w:rPr>
        <w:t>Программное обеспечение предоставляется «как есть».  Вы принимаете на себя весь риск, связанный с его использованием.  Корпорация Microsoft не предоставляет никаких явных гарантий и не гарантирует соблюдение каких-либо условий.  В степени, допустимой местным законодательством, корпорация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697FCB91" w14:textId="5A687173" w:rsidR="00980B5A" w:rsidRPr="003F53CE" w:rsidRDefault="00980B5A" w:rsidP="00CD5DCE">
      <w:pPr>
        <w:pStyle w:val="Heading1"/>
        <w:ind w:left="540" w:hanging="360"/>
        <w:rPr>
          <w:caps/>
          <w:sz w:val="20"/>
          <w:szCs w:val="20"/>
        </w:rPr>
      </w:pPr>
      <w:r>
        <w:rPr>
          <w:caps/>
          <w:sz w:val="20"/>
        </w:rPr>
        <w:t xml:space="preserve">Ограничение и исключение ответственности за убытки и ущерб.  Вы можете взыскать с корпорации Microsoft и поставщиком ее продукции только прямые убытки в размере не более $5.00 долларов США.  Вы не </w:t>
      </w:r>
      <w:r>
        <w:rPr>
          <w:caps/>
          <w:sz w:val="20"/>
        </w:rPr>
        <w:lastRenderedPageBreak/>
        <w:t>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14:paraId="20C77E71" w14:textId="5E28ADF2" w:rsidR="00980B5A" w:rsidRPr="003F53CE" w:rsidRDefault="00980B5A" w:rsidP="00CD5DCE">
      <w:pPr>
        <w:pStyle w:val="Body1"/>
        <w:ind w:left="540"/>
        <w:rPr>
          <w:sz w:val="20"/>
          <w:szCs w:val="20"/>
        </w:rPr>
      </w:pPr>
      <w:r>
        <w:rPr>
          <w:sz w:val="20"/>
        </w:rPr>
        <w:t>Это ограничение действует в отношении: a) любых вопросов, связанных с данным программным обеспечением, службами и содержимым (включая код) веб-сайтов третьих лиц, а также программами третьих лиц; б) претензий, касающихся нарушения контракта, гарантийных обязательств или существенного условия, а также строгой ответственности, неосторожности или другого гражданского правонарушения, в степени, допустимой применимым правом.</w:t>
      </w:r>
    </w:p>
    <w:p w14:paraId="204A8706" w14:textId="77777777" w:rsidR="00980B5A" w:rsidRPr="003F53CE" w:rsidRDefault="00980B5A" w:rsidP="00CD5DCE">
      <w:pPr>
        <w:ind w:left="540"/>
        <w:rPr>
          <w:sz w:val="20"/>
          <w:szCs w:val="20"/>
        </w:rPr>
      </w:pPr>
      <w:r>
        <w:rPr>
          <w:sz w:val="20"/>
        </w:rPr>
        <w:t>Это ограничение действует даже в случае, если корпорации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1117A35F" w14:textId="6AAF80B1" w:rsidR="00DE4BDF" w:rsidRDefault="00DE4BDF">
      <w:pPr>
        <w:rPr>
          <w:rFonts w:cs="Times New Roman"/>
          <w:sz w:val="20"/>
          <w:szCs w:val="20"/>
        </w:rPr>
      </w:pPr>
    </w:p>
    <w:p w14:paraId="69E90381" w14:textId="5E0D44DF" w:rsidR="000C21FA" w:rsidRPr="000C21FA" w:rsidRDefault="000C21FA">
      <w:pPr>
        <w:rPr>
          <w:rFonts w:cs="Times New Roman"/>
          <w:sz w:val="20"/>
          <w:szCs w:val="20"/>
          <w:lang w:val="en-US"/>
        </w:rPr>
      </w:pPr>
      <w:r w:rsidRPr="000C21FA">
        <w:rPr>
          <w:rFonts w:cs="Times New Roman"/>
          <w:sz w:val="20"/>
          <w:szCs w:val="20"/>
          <w:lang w:val="en-US"/>
        </w:rPr>
        <w:t>TFS2018_UPDATE_</w:t>
      </w:r>
      <w:bookmarkStart w:id="0" w:name="_GoBack"/>
      <w:bookmarkEnd w:id="0"/>
      <w:r w:rsidR="00C928FB">
        <w:rPr>
          <w:rFonts w:cs="Times New Roman"/>
          <w:sz w:val="20"/>
          <w:szCs w:val="20"/>
          <w:lang w:val="en-US"/>
        </w:rPr>
        <w:t>RUS</w:t>
      </w:r>
    </w:p>
    <w:sectPr w:rsidR="000C21FA" w:rsidRPr="000C21FA"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F24A" w14:textId="77777777" w:rsidR="006A2891" w:rsidRDefault="006A2891">
      <w:pPr>
        <w:rPr>
          <w:rFonts w:cs="Times New Roman"/>
        </w:rPr>
      </w:pPr>
      <w:r>
        <w:rPr>
          <w:rFonts w:cs="Times New Roman"/>
        </w:rPr>
        <w:separator/>
      </w:r>
    </w:p>
  </w:endnote>
  <w:endnote w:type="continuationSeparator" w:id="0">
    <w:p w14:paraId="6741A1FA" w14:textId="77777777" w:rsidR="006A2891" w:rsidRDefault="006A28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B020" w14:textId="77777777" w:rsidR="006A2891" w:rsidRDefault="006A2891">
      <w:pPr>
        <w:rPr>
          <w:rFonts w:cs="Times New Roman"/>
        </w:rPr>
      </w:pPr>
      <w:r>
        <w:rPr>
          <w:rFonts w:cs="Times New Roman"/>
        </w:rPr>
        <w:separator/>
      </w:r>
    </w:p>
  </w:footnote>
  <w:footnote w:type="continuationSeparator" w:id="0">
    <w:p w14:paraId="19BCB04C" w14:textId="77777777" w:rsidR="006A2891" w:rsidRDefault="006A289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C21FA"/>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2891"/>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13F7"/>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750F4"/>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928FB"/>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3E67"/>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ru-RU" w:eastAsia="ru-RU" w:bidi="ru-RU"/>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ru-RU" w:eastAsia="ru-RU"/>
    </w:rPr>
  </w:style>
  <w:style w:type="character" w:customStyle="1" w:styleId="Body3Char">
    <w:name w:val="Body 3 Char"/>
    <w:basedOn w:val="DefaultParagraphFont"/>
    <w:uiPriority w:val="99"/>
    <w:locked/>
    <w:rsid w:val="00FD2BC3"/>
    <w:rPr>
      <w:rFonts w:ascii="Tahoma" w:hAnsi="Tahoma" w:cs="Tahoma"/>
      <w:lang w:val="ru-RU" w:eastAsia="ru-RU"/>
    </w:rPr>
  </w:style>
  <w:style w:type="character" w:customStyle="1" w:styleId="Body4Char">
    <w:name w:val="Body 4 Char"/>
    <w:basedOn w:val="DefaultParagraphFont"/>
    <w:uiPriority w:val="99"/>
    <w:locked/>
    <w:rsid w:val="00FD2BC3"/>
    <w:rPr>
      <w:rFonts w:ascii="Tahoma" w:hAnsi="Tahoma" w:cs="Tahoma"/>
      <w:lang w:val="ru-RU" w:eastAsia="ru-RU"/>
    </w:rPr>
  </w:style>
  <w:style w:type="character" w:customStyle="1" w:styleId="Body1Char">
    <w:name w:val="Body 1 Char"/>
    <w:basedOn w:val="DefaultParagraphFont"/>
    <w:uiPriority w:val="99"/>
    <w:locked/>
    <w:rsid w:val="00FD2BC3"/>
    <w:rPr>
      <w:rFonts w:ascii="Tahoma" w:hAnsi="Tahoma" w:cs="Tahoma"/>
      <w:lang w:val="ru-RU" w:eastAsia="ru-RU"/>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ru-RU" w:eastAsia="ru-RU"/>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5ABD-10AD-4A10-ACA5-D7F66D07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2018-04-04T18:27:32.5877682Z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