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217" w:rsidRPr="00C52CA4" w:rsidRDefault="007F6479" w:rsidP="00C52CA4">
      <w:pPr>
        <w:pStyle w:val="Default"/>
        <w:spacing w:before="120" w:after="120"/>
        <w:rPr>
          <w:sz w:val="20"/>
          <w:szCs w:val="20"/>
        </w:rPr>
      </w:pPr>
      <w:bookmarkStart w:id="0" w:name="_GoBack"/>
      <w:bookmarkEnd w:id="0"/>
      <w:r>
        <w:rPr>
          <w:b/>
          <w:sz w:val="20"/>
        </w:rPr>
        <w:t>CONTRATTO DI LICENZA PER IL SOFTWARE MICROSOFT</w:t>
      </w:r>
    </w:p>
    <w:p w:rsidR="00444523" w:rsidRPr="00C52CA4" w:rsidRDefault="007F6479" w:rsidP="00C52CA4">
      <w:pPr>
        <w:pStyle w:val="Default"/>
        <w:pBdr>
          <w:bottom w:val="single" w:sz="2" w:space="1" w:color="000000"/>
        </w:pBdr>
        <w:spacing w:before="120" w:after="120"/>
        <w:rPr>
          <w:sz w:val="20"/>
          <w:szCs w:val="20"/>
        </w:rPr>
      </w:pPr>
      <w:r>
        <w:rPr>
          <w:b/>
          <w:sz w:val="20"/>
        </w:rPr>
        <w:t xml:space="preserve">MICROSOFT VISUAL STUDIO COMMUNITY 2017 PER MAC, VISUAL STUDIO PROFESSIONAL 2017 PER MAC E VISUAL STUDIO ENTERPRISE 2017 PER MAC </w:t>
      </w:r>
    </w:p>
    <w:p w:rsidR="005E7217" w:rsidRPr="00C52CA4" w:rsidRDefault="007F6479" w:rsidP="00C52CA4">
      <w:pPr>
        <w:pStyle w:val="Default"/>
        <w:spacing w:before="120" w:after="120"/>
        <w:rPr>
          <w:sz w:val="20"/>
          <w:szCs w:val="20"/>
        </w:rPr>
      </w:pPr>
      <w:r>
        <w:rPr>
          <w:sz w:val="20"/>
        </w:rPr>
        <w:t>Le presenti condizioni di licenza costituiscono il contratto tra il licenziatario e Microsoft Corporation (o, in base al luogo di residenza del licenziatario, una delle sue consociate). Tali condizioni si applicano al software Microsoft di cui sopra. Si applicano inoltre a qualsiasi servizio o aggiornamento di Microsoft relativo al software, a meno che questo non sia accompagnato da condizioni differenti.</w:t>
      </w:r>
    </w:p>
    <w:p w:rsidR="005E7217" w:rsidRPr="00C52CA4" w:rsidRDefault="007F6479" w:rsidP="00C52CA4">
      <w:pPr>
        <w:pStyle w:val="Default"/>
        <w:spacing w:before="120" w:after="120"/>
        <w:rPr>
          <w:b/>
          <w:sz w:val="20"/>
          <w:szCs w:val="20"/>
        </w:rPr>
      </w:pPr>
      <w:r>
        <w:rPr>
          <w:b/>
          <w:sz w:val="20"/>
        </w:rPr>
        <w:t>UTILIZZANDO IL SOFTWARE, IL LICENZIATARIO ACCETTA LE PRESENTI CONDIZIONI. QUALORA IL LICENZIATARIO NON LE ACCETTI, NON POTRÀ UTILIZZARE IL SOFTWARE DOVRÀ INVECE RESTITUIRLO PRONTAMENTE AL RIVENDITORE PER OTTENERE IL RIMBORSO DEL PREZZO. </w:t>
      </w:r>
      <w:r>
        <w:rPr>
          <w:sz w:val="20"/>
        </w:rPr>
        <w:t>Qualora non sia possibile ottenere il rimborso, il licenziatario potrà ricevere informazioni in merito alle diverse condizioni di rimborso stabilite da Microsoft contattando direttamente Microsoft oppure la consociata Microsoft del proprio Paese o visitando </w:t>
      </w:r>
      <w:hyperlink r:id="rId7" w:history="1">
        <w:r>
          <w:rPr>
            <w:rStyle w:val="Hyperlink"/>
            <w:sz w:val="20"/>
          </w:rPr>
          <w:t>www.microsoft.com/worldwide</w:t>
        </w:r>
      </w:hyperlink>
      <w:r>
        <w:rPr>
          <w:sz w:val="20"/>
        </w:rPr>
        <w:t xml:space="preserve">. </w:t>
      </w:r>
      <w:r>
        <w:t>Negli Stati Uniti e in Canada il licenziatario deve contattare il numero (800) MICROSOFT o visitare la pagina all’indirizzo</w:t>
      </w:r>
      <w:r>
        <w:rPr>
          <w:sz w:val="20"/>
        </w:rPr>
        <w:t> </w:t>
      </w:r>
      <w:hyperlink r:id="rId8" w:history="1">
        <w:r>
          <w:rPr>
            <w:rStyle w:val="Hyperlink"/>
            <w:sz w:val="20"/>
          </w:rPr>
          <w:t>www.microsoft.com/info/nareturns.htm</w:t>
        </w:r>
      </w:hyperlink>
      <w:r>
        <w:rPr>
          <w:sz w:val="20"/>
        </w:rPr>
        <w:t>.</w:t>
      </w:r>
    </w:p>
    <w:p w:rsidR="008C3D54" w:rsidRPr="00C52CA4" w:rsidRDefault="007F6479" w:rsidP="00C52CA4">
      <w:pPr>
        <w:pStyle w:val="Default"/>
        <w:numPr>
          <w:ilvl w:val="0"/>
          <w:numId w:val="5"/>
        </w:numPr>
        <w:spacing w:before="120" w:after="120"/>
        <w:ind w:left="360"/>
        <w:rPr>
          <w:sz w:val="20"/>
          <w:szCs w:val="20"/>
        </w:rPr>
      </w:pPr>
      <w:r>
        <w:rPr>
          <w:sz w:val="20"/>
        </w:rPr>
        <w:t>Nell’Articolo I sono illustrati i diritti sull’utilizzo del licenziatario relativamente a Visual Studio Community 2017 per Mac.</w:t>
      </w:r>
    </w:p>
    <w:p w:rsidR="008C3D54" w:rsidRPr="00C52CA4" w:rsidRDefault="007F6479" w:rsidP="00C52CA4">
      <w:pPr>
        <w:pStyle w:val="Default"/>
        <w:numPr>
          <w:ilvl w:val="0"/>
          <w:numId w:val="5"/>
        </w:numPr>
        <w:spacing w:before="120" w:after="120"/>
        <w:ind w:left="360"/>
        <w:rPr>
          <w:sz w:val="20"/>
          <w:szCs w:val="20"/>
        </w:rPr>
      </w:pPr>
      <w:r>
        <w:rPr>
          <w:sz w:val="20"/>
        </w:rPr>
        <w:t>Nell’Articolo II sono illustrati i diritti sull’utilizzo, la garanzia e i vantaggi del supporto tecnico avanzati che il licenziatario ottiene con l’acquisto di una sottoscrizione dell’edizione Visual Studio Professional 2017 per Mac o Visual Studio Enterprise 2017 per Mac del software.</w:t>
      </w:r>
    </w:p>
    <w:p w:rsidR="008C3D54" w:rsidRPr="00C52CA4" w:rsidRDefault="007F6479" w:rsidP="00C52CA4">
      <w:pPr>
        <w:pStyle w:val="Default"/>
        <w:numPr>
          <w:ilvl w:val="0"/>
          <w:numId w:val="5"/>
        </w:numPr>
        <w:pBdr>
          <w:bottom w:val="single" w:sz="4" w:space="1" w:color="auto"/>
        </w:pBdr>
        <w:spacing w:before="120" w:after="120"/>
        <w:ind w:left="360"/>
        <w:rPr>
          <w:sz w:val="20"/>
          <w:szCs w:val="20"/>
        </w:rPr>
      </w:pPr>
      <w:r>
        <w:rPr>
          <w:sz w:val="20"/>
        </w:rPr>
        <w:t>Nell’Articolo III sono presenti le condizioni generali che si applicano a tutte le edizioni del software.</w:t>
      </w:r>
    </w:p>
    <w:p w:rsidR="005E7217" w:rsidRPr="00C52CA4" w:rsidRDefault="007F6479" w:rsidP="00C52CA4">
      <w:pPr>
        <w:pStyle w:val="Default"/>
        <w:spacing w:before="120" w:after="120"/>
        <w:rPr>
          <w:sz w:val="20"/>
          <w:szCs w:val="20"/>
        </w:rPr>
      </w:pPr>
      <w:r>
        <w:rPr>
          <w:b/>
          <w:sz w:val="20"/>
        </w:rPr>
        <w:t xml:space="preserve">ARTICOLO I: VISUAL STUDIO COMMUNITY 2017 PER MAC. </w:t>
      </w:r>
      <w:r>
        <w:rPr>
          <w:sz w:val="20"/>
        </w:rPr>
        <w:t>Nel presente Articolo sono illustrati i diritti del licenziatario relativamente all’edizione Community del software.</w:t>
      </w:r>
    </w:p>
    <w:p w:rsidR="005E7217" w:rsidRPr="00C52CA4" w:rsidRDefault="007F6479" w:rsidP="00C52CA4">
      <w:pPr>
        <w:pStyle w:val="Default"/>
        <w:numPr>
          <w:ilvl w:val="0"/>
          <w:numId w:val="23"/>
        </w:numPr>
        <w:tabs>
          <w:tab w:val="left" w:pos="360"/>
          <w:tab w:val="left" w:pos="5940"/>
        </w:tabs>
        <w:spacing w:before="120" w:after="120"/>
        <w:ind w:left="360"/>
        <w:rPr>
          <w:sz w:val="20"/>
          <w:szCs w:val="20"/>
        </w:rPr>
      </w:pPr>
      <w:r>
        <w:rPr>
          <w:b/>
          <w:sz w:val="20"/>
        </w:rPr>
        <w:t xml:space="preserve">DIRITTI SULL’UTILIZZO RELATIVI A VISUAL STUDIO COMMUNITY 2017 PER MAC. </w:t>
      </w:r>
    </w:p>
    <w:p w:rsidR="005E7217" w:rsidRPr="00C52CA4" w:rsidRDefault="007F6479" w:rsidP="00C52CA4">
      <w:pPr>
        <w:pStyle w:val="Default"/>
        <w:numPr>
          <w:ilvl w:val="1"/>
          <w:numId w:val="23"/>
        </w:numPr>
        <w:tabs>
          <w:tab w:val="left" w:pos="720"/>
        </w:tabs>
        <w:spacing w:before="120" w:after="120"/>
        <w:ind w:left="720"/>
        <w:rPr>
          <w:sz w:val="20"/>
          <w:szCs w:val="20"/>
        </w:rPr>
      </w:pPr>
      <w:r>
        <w:rPr>
          <w:b/>
          <w:sz w:val="20"/>
        </w:rPr>
        <w:t xml:space="preserve">Licenza Individuale. </w:t>
      </w:r>
      <w:r>
        <w:rPr>
          <w:sz w:val="20"/>
        </w:rPr>
        <w:t>Qualora il licenziatario sia un individuo che usa le proprie applicazioni per la vendita o per altri fini, potrà utilizzare il software per sviluppare e testare tali applicazioni.</w:t>
      </w:r>
    </w:p>
    <w:p w:rsidR="005E7217" w:rsidRPr="00C52CA4" w:rsidRDefault="007F6479" w:rsidP="00C52CA4">
      <w:pPr>
        <w:pStyle w:val="Default"/>
        <w:numPr>
          <w:ilvl w:val="1"/>
          <w:numId w:val="23"/>
        </w:numPr>
        <w:tabs>
          <w:tab w:val="left" w:pos="720"/>
        </w:tabs>
        <w:spacing w:before="120" w:after="120"/>
        <w:ind w:left="720"/>
        <w:rPr>
          <w:sz w:val="20"/>
          <w:szCs w:val="20"/>
        </w:rPr>
      </w:pPr>
      <w:r>
        <w:rPr>
          <w:b/>
          <w:sz w:val="20"/>
        </w:rPr>
        <w:t xml:space="preserve">Licenze per Organizzazioni. </w:t>
      </w:r>
      <w:r>
        <w:rPr>
          <w:sz w:val="20"/>
        </w:rPr>
        <w:t>Qualora il licenziatario sia un’organizzazione, i propri utenti potranno utilizzare il software come di seguito indicato:</w:t>
      </w:r>
    </w:p>
    <w:p w:rsidR="005E7217" w:rsidRPr="00C52CA4" w:rsidRDefault="007F6479" w:rsidP="00C52CA4">
      <w:pPr>
        <w:pStyle w:val="Default"/>
        <w:numPr>
          <w:ilvl w:val="1"/>
          <w:numId w:val="5"/>
        </w:numPr>
        <w:spacing w:before="120" w:after="120"/>
        <w:rPr>
          <w:sz w:val="20"/>
          <w:szCs w:val="20"/>
        </w:rPr>
      </w:pPr>
      <w:r>
        <w:rPr>
          <w:sz w:val="20"/>
        </w:rPr>
        <w:t>Un numero qualsiasi di utenti potrà utilizzare il software per sviluppare e testare le applicazioni rilasciate ai sensi delle licenze software open source approvate dall’Open Source Initiative (OSI).</w:t>
      </w:r>
    </w:p>
    <w:p w:rsidR="005E7217" w:rsidRPr="00C52CA4" w:rsidRDefault="007F6479" w:rsidP="00C52CA4">
      <w:pPr>
        <w:pStyle w:val="Default"/>
        <w:numPr>
          <w:ilvl w:val="1"/>
          <w:numId w:val="5"/>
        </w:numPr>
        <w:spacing w:before="120" w:after="120"/>
        <w:rPr>
          <w:sz w:val="20"/>
          <w:szCs w:val="20"/>
        </w:rPr>
      </w:pPr>
      <w:r>
        <w:rPr>
          <w:sz w:val="20"/>
        </w:rPr>
        <w:t xml:space="preserve">Un numero qualsiasi di utenti potrà utilizzare il software per sviluppare e testare le estensioni per Visual Studio. </w:t>
      </w:r>
    </w:p>
    <w:p w:rsidR="005E7217" w:rsidRPr="00C52CA4" w:rsidRDefault="007F6479" w:rsidP="00C52CA4">
      <w:pPr>
        <w:pStyle w:val="Default"/>
        <w:numPr>
          <w:ilvl w:val="1"/>
          <w:numId w:val="5"/>
        </w:numPr>
        <w:spacing w:before="120" w:after="120"/>
        <w:rPr>
          <w:sz w:val="20"/>
          <w:szCs w:val="20"/>
        </w:rPr>
      </w:pPr>
      <w:r>
        <w:rPr>
          <w:sz w:val="20"/>
        </w:rPr>
        <w:t>Un numero qualsiasi di utenti potrà utilizzare il software per sviluppare e testare le applicazioni come parte di un percorso didattico o di formazione online o di persona o per effettuare ricerche accademiche.</w:t>
      </w:r>
    </w:p>
    <w:p w:rsidR="005E7217" w:rsidRPr="00C52CA4" w:rsidRDefault="007F6479" w:rsidP="00C52CA4">
      <w:pPr>
        <w:pStyle w:val="Default"/>
        <w:numPr>
          <w:ilvl w:val="1"/>
          <w:numId w:val="5"/>
        </w:numPr>
        <w:spacing w:before="120" w:after="120"/>
        <w:rPr>
          <w:sz w:val="20"/>
          <w:szCs w:val="20"/>
        </w:rPr>
      </w:pPr>
      <w:r>
        <w:rPr>
          <w:sz w:val="20"/>
        </w:rPr>
        <w:t xml:space="preserve">Se nessuno dei casi precedenti è applicabile e il licenziatario non è un’organizzazione (in base a quanto definito di seguito), fino a massimo di 5 utenti può utilizzare il software </w:t>
      </w:r>
      <w:r>
        <w:rPr>
          <w:sz w:val="20"/>
        </w:rPr>
        <w:lastRenderedPageBreak/>
        <w:t>contemporaneamente per sviluppare e testare le applicazioni.</w:t>
      </w:r>
    </w:p>
    <w:p w:rsidR="005E7217" w:rsidRPr="00C52CA4" w:rsidRDefault="007F6479" w:rsidP="00C52CA4">
      <w:pPr>
        <w:pStyle w:val="Default"/>
        <w:numPr>
          <w:ilvl w:val="1"/>
          <w:numId w:val="5"/>
        </w:numPr>
        <w:spacing w:before="120" w:after="120"/>
        <w:rPr>
          <w:sz w:val="20"/>
          <w:szCs w:val="20"/>
        </w:rPr>
      </w:pPr>
      <w:r>
        <w:t>Qualora il licenziatario sia un’organizzazione, i propri dipendenti e collaboratori potranno utilizzare il software per sviluppare o testare le applicazioni esclusivamente per i fini didattici e correlati alle estensioni di Visual Studio e al software open source di cui sopra.</w:t>
      </w:r>
      <w:r>
        <w:rPr>
          <w:sz w:val="20"/>
        </w:rPr>
        <w:t xml:space="preserve"> Il termine </w:t>
      </w:r>
      <w:r>
        <w:rPr>
          <w:sz w:val="20"/>
          <w:cs/>
        </w:rPr>
        <w:t>“</w:t>
      </w:r>
      <w:r>
        <w:rPr>
          <w:sz w:val="20"/>
        </w:rPr>
        <w:t>organizzazione</w:t>
      </w:r>
      <w:r>
        <w:rPr>
          <w:sz w:val="20"/>
          <w:cs/>
        </w:rPr>
        <w:t xml:space="preserve">” </w:t>
      </w:r>
      <w:r>
        <w:rPr>
          <w:sz w:val="20"/>
        </w:rPr>
        <w:t xml:space="preserve">indica un’organizzazione e le relative consociate che collettivamente dispongono di (i) 250 PC o utenti o (ii) più di un milione di dollari USA (o importo equivalente in altre valute) di ricavi annuali e </w:t>
      </w:r>
      <w:r>
        <w:rPr>
          <w:sz w:val="20"/>
          <w:cs/>
        </w:rPr>
        <w:t>“</w:t>
      </w:r>
      <w:r>
        <w:rPr>
          <w:sz w:val="20"/>
        </w:rPr>
        <w:t>consociate</w:t>
      </w:r>
      <w:r>
        <w:rPr>
          <w:sz w:val="20"/>
          <w:cs/>
        </w:rPr>
        <w:t xml:space="preserve">” </w:t>
      </w:r>
      <w:r>
        <w:rPr>
          <w:sz w:val="20"/>
        </w:rPr>
        <w:t>indica le persone giuridiche che controllano (tramite partecipazione maggioritaria), sono controllate da o il cui controllo competa agli stessi soggetti che sono proprietari dell’organizzazione.</w:t>
      </w:r>
    </w:p>
    <w:p w:rsidR="005E7217" w:rsidRPr="00C52CA4" w:rsidRDefault="007F6479" w:rsidP="00C52CA4">
      <w:pPr>
        <w:pStyle w:val="Default"/>
        <w:numPr>
          <w:ilvl w:val="1"/>
          <w:numId w:val="23"/>
        </w:numPr>
        <w:tabs>
          <w:tab w:val="left" w:pos="720"/>
        </w:tabs>
        <w:spacing w:before="120" w:after="120"/>
        <w:ind w:left="720"/>
        <w:rPr>
          <w:sz w:val="20"/>
          <w:szCs w:val="20"/>
        </w:rPr>
      </w:pPr>
      <w:r>
        <w:rPr>
          <w:b/>
          <w:sz w:val="20"/>
        </w:rPr>
        <w:t>Utilizzo Dimostrativo.</w:t>
      </w:r>
      <w:r>
        <w:rPr>
          <w:sz w:val="20"/>
        </w:rPr>
        <w:t xml:space="preserve"> Gli utilizzi consentiti sopra includono l’uso del software per fornire una demo delle applicazioni sviluppate.</w:t>
      </w:r>
    </w:p>
    <w:p w:rsidR="005E7217" w:rsidRPr="00C52CA4" w:rsidRDefault="007F6479" w:rsidP="00C52CA4">
      <w:pPr>
        <w:pStyle w:val="Default"/>
        <w:numPr>
          <w:ilvl w:val="0"/>
          <w:numId w:val="23"/>
        </w:numPr>
        <w:tabs>
          <w:tab w:val="left" w:pos="360"/>
        </w:tabs>
        <w:spacing w:before="120" w:after="120"/>
        <w:ind w:left="360"/>
        <w:rPr>
          <w:sz w:val="20"/>
          <w:szCs w:val="20"/>
        </w:rPr>
      </w:pPr>
      <w:r>
        <w:rPr>
          <w:b/>
          <w:sz w:val="20"/>
        </w:rPr>
        <w:t xml:space="preserve">SERVIZI DI SUPPORTO TECNICO. </w:t>
      </w:r>
      <w:r>
        <w:rPr>
          <w:sz w:val="20"/>
        </w:rPr>
        <w:t xml:space="preserve">Poiché Visual Studio Community 2017 per Mac viene concesso in licenza </w:t>
      </w:r>
      <w:r>
        <w:rPr>
          <w:sz w:val="20"/>
          <w:cs/>
        </w:rPr>
        <w:t>“</w:t>
      </w:r>
      <w:r>
        <w:rPr>
          <w:sz w:val="20"/>
        </w:rPr>
        <w:t>com’è</w:t>
      </w:r>
      <w:r>
        <w:rPr>
          <w:sz w:val="20"/>
          <w:cs/>
        </w:rPr>
        <w:t>”</w:t>
      </w:r>
      <w:r>
        <w:rPr>
          <w:sz w:val="20"/>
        </w:rPr>
        <w:t>, non è prevista l’erogazione di servizi di supporto tecnico da parte di Microsoft.</w:t>
      </w:r>
    </w:p>
    <w:p w:rsidR="005E7217" w:rsidRDefault="007F6479" w:rsidP="00C52CA4">
      <w:pPr>
        <w:pStyle w:val="Default"/>
        <w:numPr>
          <w:ilvl w:val="0"/>
          <w:numId w:val="23"/>
        </w:numPr>
        <w:tabs>
          <w:tab w:val="left" w:pos="360"/>
        </w:tabs>
        <w:spacing w:before="120" w:after="120"/>
        <w:ind w:left="360"/>
        <w:rPr>
          <w:b/>
          <w:caps/>
          <w:sz w:val="20"/>
          <w:szCs w:val="20"/>
        </w:rPr>
      </w:pPr>
      <w:r>
        <w:rPr>
          <w:b/>
          <w:sz w:val="20"/>
        </w:rPr>
        <w:t xml:space="preserve">ESCLUSIONE DI GARANZIE. </w:t>
      </w:r>
      <w:r>
        <w:rPr>
          <w:b/>
          <w:caps/>
          <w:sz w:val="20"/>
        </w:rPr>
        <w:t xml:space="preserve">VISUAL STUDIO COMMUNITY 2017 PER MAC viene concesso in licenza </w:t>
      </w:r>
      <w:r>
        <w:rPr>
          <w:b/>
          <w:caps/>
          <w:sz w:val="20"/>
          <w:cs/>
        </w:rPr>
        <w:t>“</w:t>
      </w:r>
      <w:r>
        <w:rPr>
          <w:b/>
          <w:caps/>
          <w:sz w:val="20"/>
        </w:rPr>
        <w:t>com’è</w:t>
      </w:r>
      <w:r>
        <w:rPr>
          <w:b/>
          <w:caps/>
          <w:sz w:val="20"/>
          <w:cs/>
        </w:rPr>
        <w:t>”</w:t>
      </w:r>
      <w:r>
        <w:rPr>
          <w:b/>
          <w:caps/>
          <w:sz w:val="20"/>
        </w:rPr>
        <w:t>.  Il licenziatario si assume ogni rischio derivante dall’utilizzo del software. Microsoft non riconosce garanzie o condizioni espresse. Nella misura massima consentita dalla legge locale MICROSOFT esclude eventuali garanzie implicite di commerciabilità (qualità non inferiore alla media), adeguatezza per uno scopo specifico e non violazione di diritti di terzi.</w:t>
      </w:r>
    </w:p>
    <w:p w:rsidR="00C52CA4" w:rsidRPr="00C52CA4" w:rsidRDefault="00C52CA4" w:rsidP="00C52CA4">
      <w:pPr>
        <w:pBdr>
          <w:bottom w:val="single" w:sz="4" w:space="1" w:color="auto"/>
        </w:pBdr>
        <w:spacing w:before="120" w:after="120" w:line="240" w:lineRule="auto"/>
        <w:rPr>
          <w:rFonts w:ascii="Tahoma" w:eastAsia="PMingLiU-ExtB" w:hAnsi="Tahoma" w:cs="Tahoma"/>
          <w:sz w:val="20"/>
          <w:szCs w:val="20"/>
        </w:rPr>
      </w:pPr>
    </w:p>
    <w:p w:rsidR="005E7217" w:rsidRPr="00C52CA4" w:rsidRDefault="007F6479" w:rsidP="00C52CA4">
      <w:pPr>
        <w:pStyle w:val="Default"/>
        <w:spacing w:before="120" w:after="120"/>
        <w:rPr>
          <w:sz w:val="20"/>
          <w:szCs w:val="20"/>
        </w:rPr>
      </w:pPr>
      <w:r>
        <w:rPr>
          <w:b/>
          <w:sz w:val="20"/>
        </w:rPr>
        <w:t xml:space="preserve">ARTICOLO II: VISUAL STUDIO PROFESSIONAL 2017 PER MAC E VISUAL STUDIO ENTERPRISE 2017 PER MAC. </w:t>
      </w:r>
      <w:r>
        <w:rPr>
          <w:sz w:val="20"/>
        </w:rPr>
        <w:t>Nel presente Articolo sono illustrati i diritti sull’utilizzo, la garanzia e i vantaggi del supporto tecnico che il licenziatario ottiene con l’acquisto di una sottoscrizione dell’edizione Professional o Enterprise del software (</w:t>
      </w:r>
      <w:r>
        <w:rPr>
          <w:sz w:val="20"/>
          <w:cs/>
        </w:rPr>
        <w:t>“</w:t>
      </w:r>
      <w:r>
        <w:rPr>
          <w:sz w:val="20"/>
        </w:rPr>
        <w:t>Sottoscrizione di Visual Studio</w:t>
      </w:r>
      <w:r>
        <w:rPr>
          <w:sz w:val="20"/>
          <w:cs/>
        </w:rPr>
        <w:t>”</w:t>
      </w:r>
      <w:r>
        <w:rPr>
          <w:sz w:val="20"/>
        </w:rPr>
        <w:t xml:space="preserve">). Il licenziatario non potrà condividere il codice del buono o le credenziali di accesso relative alla Sottoscrizione di Visual Studio. </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DIRITTI SULL’UTILIZZO RELATIVI A VISUAL STUDIO PROFESSIONAL 2017 PER MAC E VISUAL STUDIO ENTERPRISE 2017 PER MAC.</w:t>
      </w:r>
    </w:p>
    <w:p w:rsidR="005E7217" w:rsidRPr="00C52CA4" w:rsidRDefault="007F6479" w:rsidP="00C52CA4">
      <w:pPr>
        <w:pStyle w:val="Default"/>
        <w:numPr>
          <w:ilvl w:val="1"/>
          <w:numId w:val="24"/>
        </w:numPr>
        <w:tabs>
          <w:tab w:val="left" w:pos="720"/>
        </w:tabs>
        <w:spacing w:before="120" w:after="120"/>
        <w:ind w:left="720"/>
        <w:rPr>
          <w:sz w:val="20"/>
          <w:szCs w:val="20"/>
        </w:rPr>
      </w:pPr>
      <w:r>
        <w:rPr>
          <w:b/>
          <w:sz w:val="20"/>
        </w:rPr>
        <w:t xml:space="preserve">Generale. </w:t>
      </w:r>
      <w:r>
        <w:rPr>
          <w:sz w:val="20"/>
        </w:rPr>
        <w:t xml:space="preserve">Il software è concesso in licenza nella modalità Per utente. Un utente potrà utilizzare copie del software sui dispositivi del licenziatario per sviluppare e testare le applicazioni. Ciò include l’utilizzo di copie del software sui server interni del licenziatario che rimangono completamente dedicati a un utilizzo personale. Il licenziatario non potrà tuttavia separare i componenti del software per eseguirli in un ambiente di produzione o su dispositivi di terzi (fatto salvo quanto diversamente specificato nel presente contratto) o per qualsivoglia altro scopo che non sia lo sviluppo e il test delle applicazioni. </w:t>
      </w:r>
    </w:p>
    <w:p w:rsidR="005E7217" w:rsidRPr="00C52CA4" w:rsidRDefault="007F6479" w:rsidP="00C52CA4">
      <w:pPr>
        <w:pStyle w:val="Default"/>
        <w:numPr>
          <w:ilvl w:val="1"/>
          <w:numId w:val="24"/>
        </w:numPr>
        <w:tabs>
          <w:tab w:val="left" w:pos="720"/>
        </w:tabs>
        <w:spacing w:before="120" w:after="120"/>
        <w:ind w:left="720"/>
        <w:rPr>
          <w:sz w:val="20"/>
          <w:szCs w:val="20"/>
        </w:rPr>
      </w:pPr>
      <w:r>
        <w:rPr>
          <w:b/>
          <w:sz w:val="20"/>
        </w:rPr>
        <w:t>Utilizzo dimostrativo</w:t>
      </w:r>
      <w:r>
        <w:rPr>
          <w:sz w:val="20"/>
        </w:rPr>
        <w:t>. Gli utilizzi consentiti sopra includono l’uso del software per fornire una demo delle applicazioni sviluppate.</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 xml:space="preserve">DOCUMENTAZIONE. </w:t>
      </w:r>
      <w:r>
        <w:rPr>
          <w:sz w:val="20"/>
        </w:rPr>
        <w:t>Qualsiasi persona che disponga di accesso valido al computer o alla rete interna del licenziatario potrà duplicare e utilizzare la documentazione per fini di riferimento interno.</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lastRenderedPageBreak/>
        <w:t xml:space="preserve">SOFTWARE DIMOSTRATIVO. Vietata la Vendita ("Not for Resale" o "NFR"). </w:t>
      </w:r>
      <w:r>
        <w:rPr>
          <w:sz w:val="20"/>
        </w:rPr>
        <w:t xml:space="preserve">Il licenziatario non potrà vendere il software che rechi l’etichetta </w:t>
      </w:r>
      <w:r>
        <w:rPr>
          <w:sz w:val="20"/>
          <w:cs/>
        </w:rPr>
        <w:t>“</w:t>
      </w:r>
      <w:r>
        <w:rPr>
          <w:sz w:val="20"/>
        </w:rPr>
        <w:t>Campione Dimostrativo. Vietata la Vendita</w:t>
      </w:r>
      <w:r>
        <w:rPr>
          <w:sz w:val="20"/>
          <w:cs/>
        </w:rPr>
        <w:t xml:space="preserve">” </w:t>
      </w:r>
      <w:r>
        <w:rPr>
          <w:sz w:val="20"/>
        </w:rPr>
        <w:t>(</w:t>
      </w:r>
      <w:r>
        <w:rPr>
          <w:sz w:val="20"/>
          <w:cs/>
        </w:rPr>
        <w:t>“</w:t>
      </w:r>
      <w:r>
        <w:rPr>
          <w:sz w:val="20"/>
        </w:rPr>
        <w:t>Not for Resale</w:t>
      </w:r>
      <w:r>
        <w:rPr>
          <w:sz w:val="20"/>
          <w:cs/>
        </w:rPr>
        <w:t xml:space="preserve">” </w:t>
      </w:r>
      <w:r>
        <w:rPr>
          <w:sz w:val="20"/>
        </w:rPr>
        <w:t xml:space="preserve">o </w:t>
      </w:r>
      <w:r>
        <w:rPr>
          <w:sz w:val="20"/>
          <w:cs/>
        </w:rPr>
        <w:t>“</w:t>
      </w:r>
      <w:r>
        <w:rPr>
          <w:sz w:val="20"/>
        </w:rPr>
        <w:t>NFR</w:t>
      </w:r>
      <w:r>
        <w:rPr>
          <w:sz w:val="20"/>
          <w:cs/>
        </w:rPr>
        <w:t>”</w:t>
      </w:r>
      <w:r>
        <w:rPr>
          <w:sz w:val="20"/>
        </w:rPr>
        <w:t>).</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PROVA DELLA LICENZA (</w:t>
      </w:r>
      <w:r>
        <w:rPr>
          <w:b/>
          <w:sz w:val="20"/>
          <w:cs/>
        </w:rPr>
        <w:t>“</w:t>
      </w:r>
      <w:r>
        <w:rPr>
          <w:b/>
          <w:sz w:val="20"/>
        </w:rPr>
        <w:t>Proof of License</w:t>
      </w:r>
      <w:r>
        <w:rPr>
          <w:b/>
          <w:sz w:val="20"/>
          <w:cs/>
        </w:rPr>
        <w:t xml:space="preserve">” </w:t>
      </w:r>
      <w:r>
        <w:rPr>
          <w:b/>
          <w:sz w:val="20"/>
        </w:rPr>
        <w:t xml:space="preserve">o </w:t>
      </w:r>
      <w:r>
        <w:rPr>
          <w:b/>
          <w:sz w:val="20"/>
          <w:cs/>
        </w:rPr>
        <w:t>“</w:t>
      </w:r>
      <w:r>
        <w:rPr>
          <w:b/>
          <w:sz w:val="20"/>
        </w:rPr>
        <w:t>POL</w:t>
      </w:r>
      <w:r>
        <w:rPr>
          <w:b/>
          <w:sz w:val="20"/>
          <w:cs/>
        </w:rPr>
        <w:t>”</w:t>
      </w:r>
      <w:r>
        <w:rPr>
          <w:b/>
          <w:sz w:val="20"/>
        </w:rPr>
        <w:t xml:space="preserve">). </w:t>
      </w:r>
      <w:r>
        <w:rPr>
          <w:sz w:val="20"/>
        </w:rPr>
        <w:t xml:space="preserve">La prova della licenza del licenziatario è costituita dal codice del buono ricevuto con la Sottoscrizione di Visual Studio e dalla ricevuta e/o dalla possibilità di accedere al servizio software tramite il proprio account Microsoft. </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 xml:space="preserve">TRASFERIMENTO A TERZI.  </w:t>
      </w:r>
      <w:r>
        <w:rPr>
          <w:sz w:val="20"/>
        </w:rPr>
        <w:t xml:space="preserve">Qualora il licenziatario disponga di una Sottoscrizione di Visual Studio, potrà trasferire il presente software e i contratti di licenza applicabili direttamente a un’altra parte. Prima del trasferimento il terzo dovrà accettare che il presente contratto si applichi al trasferimento e all'utilizzo del software. Il trasferimento dovrà includere il software e il codice del buono. Il licenziatario dovrà disinstallare tutte le copie del software dopo averlo trasferito dal dispositivo o dai dispositivi in uso. Il licenziatario non potrà trattenere alcuna copia del codice del buono che verrà trasferito e potrà conservare solo copie del software qualora sia stato in altro modo autorizzato a farlo. </w:t>
      </w:r>
      <w:r>
        <w:rPr>
          <w:b/>
          <w:sz w:val="20"/>
        </w:rPr>
        <w:t xml:space="preserve">Qualora il licenziatario abbia acquistato una licenza non perpetua di utilizzo del software o qualora il software rechi l’etichetta </w:t>
      </w:r>
      <w:r>
        <w:rPr>
          <w:b/>
          <w:sz w:val="20"/>
          <w:cs/>
        </w:rPr>
        <w:t>“</w:t>
      </w:r>
      <w:r>
        <w:rPr>
          <w:b/>
          <w:sz w:val="20"/>
        </w:rPr>
        <w:t>Campione Dimostrativo. Vietata la Vendita</w:t>
      </w:r>
      <w:r>
        <w:rPr>
          <w:b/>
          <w:sz w:val="20"/>
          <w:cs/>
        </w:rPr>
        <w:t xml:space="preserve">” </w:t>
      </w:r>
      <w:r>
        <w:rPr>
          <w:b/>
          <w:sz w:val="20"/>
        </w:rPr>
        <w:t>(</w:t>
      </w:r>
      <w:r>
        <w:rPr>
          <w:b/>
          <w:sz w:val="20"/>
          <w:cs/>
        </w:rPr>
        <w:t>“</w:t>
      </w:r>
      <w:r>
        <w:rPr>
          <w:b/>
          <w:sz w:val="20"/>
        </w:rPr>
        <w:t>Not for Resale</w:t>
      </w:r>
      <w:r>
        <w:rPr>
          <w:b/>
          <w:sz w:val="20"/>
          <w:cs/>
        </w:rPr>
        <w:t xml:space="preserve">” </w:t>
      </w:r>
      <w:r>
        <w:rPr>
          <w:b/>
          <w:sz w:val="20"/>
        </w:rPr>
        <w:t xml:space="preserve">o </w:t>
      </w:r>
      <w:r>
        <w:rPr>
          <w:b/>
          <w:sz w:val="20"/>
          <w:cs/>
        </w:rPr>
        <w:t>“</w:t>
      </w:r>
      <w:r>
        <w:rPr>
          <w:b/>
          <w:sz w:val="20"/>
        </w:rPr>
        <w:t>NFR</w:t>
      </w:r>
      <w:r>
        <w:rPr>
          <w:b/>
          <w:sz w:val="20"/>
          <w:cs/>
        </w:rPr>
        <w:t>”</w:t>
      </w:r>
      <w:r>
        <w:rPr>
          <w:b/>
          <w:sz w:val="20"/>
        </w:rPr>
        <w:t>), il licenziatario non potrà trasferire il software o il presente contratto a un’altra parte.</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SERVIZI DI SUPPORTO TECNICO.</w:t>
      </w:r>
      <w:r>
        <w:rPr>
          <w:sz w:val="20"/>
        </w:rPr>
        <w:t xml:space="preserve"> </w:t>
      </w:r>
      <w:r>
        <w:t xml:space="preserve">Microsoft eroga servizi di supporto tecnico per il software come descritto all’indirizzo </w:t>
      </w:r>
      <w:hyperlink r:id="rId9" w:history="1">
        <w:r>
          <w:rPr>
            <w:rStyle w:val="Hyperlink"/>
            <w:sz w:val="20"/>
          </w:rPr>
          <w:t>https://support.microsoft.com</w:t>
        </w:r>
      </w:hyperlink>
      <w:r>
        <w:rPr>
          <w:sz w:val="20"/>
        </w:rPr>
        <w:t xml:space="preserve">. </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 xml:space="preserve">GARANZIA LIMITATA. </w:t>
      </w:r>
      <w:r>
        <w:rPr>
          <w:sz w:val="20"/>
        </w:rPr>
        <w:t>Qualora il licenziatario si attenga alle istruzioni, il software funzionerà in sostanziale conformità a quanto descritto nel materiale Microsoft che il licenziatario riceve con il software.</w:t>
      </w:r>
    </w:p>
    <w:p w:rsidR="005E7217" w:rsidRPr="00C52CA4" w:rsidRDefault="007F6479" w:rsidP="00C52CA4">
      <w:pPr>
        <w:pStyle w:val="Default"/>
        <w:spacing w:before="120" w:after="120"/>
        <w:ind w:left="360"/>
        <w:rPr>
          <w:sz w:val="20"/>
          <w:szCs w:val="20"/>
        </w:rPr>
      </w:pPr>
      <w:r>
        <w:rPr>
          <w:sz w:val="20"/>
        </w:rPr>
        <w:t xml:space="preserve">Il termine </w:t>
      </w:r>
      <w:r>
        <w:rPr>
          <w:sz w:val="20"/>
          <w:cs/>
        </w:rPr>
        <w:t>“</w:t>
      </w:r>
      <w:r>
        <w:rPr>
          <w:sz w:val="20"/>
        </w:rPr>
        <w:t>garanzia limitata</w:t>
      </w:r>
      <w:r>
        <w:rPr>
          <w:sz w:val="20"/>
          <w:cs/>
        </w:rPr>
        <w:t xml:space="preserve">” </w:t>
      </w:r>
      <w:r>
        <w:rPr>
          <w:sz w:val="20"/>
        </w:rPr>
        <w:t>fa riferimento alla garanzia espressa fornita da Microsoft. Tale garanzia viene fornita in aggiunta agli altri diritti e rimedi riconosciuti al licenziatario in base alla legge, inclusi i diritti e i rimedi previsti in conformità alle garanzie di legge stabilite ai sensi della Legge locale per la Tutela dei Consumatori.</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PERIODO DI VALIDITA’</w:t>
      </w:r>
      <w:r>
        <w:rPr>
          <w:b/>
          <w:sz w:val="20"/>
          <w:cs/>
        </w:rPr>
        <w:t xml:space="preserve"> </w:t>
      </w:r>
      <w:r>
        <w:rPr>
          <w:b/>
          <w:sz w:val="20"/>
        </w:rPr>
        <w:t xml:space="preserve">DELLA GARANZIA; DESTINATARIO DELLA GARANZIA; DURATA DI EVENTUALI GARANZIE IMPLICITE. LA GARANZIA LIMITATA HA DURATA DI UN ANNO DALLA DATA IN CUI IL SOFTWARE È STATO ACQUISTATO DAL PRIMO UTENTE. QUALORA IL LICENZIATARIO RICEVA SUPPLEMENTI, AGGIORNAMENTI O SOFTWARE SOSTITUTIVI DURANTE L'ANNO DI GARANZIA, ESSI SARANNO GARANTITI PER IL RIMANENTE PERIODO DI VALIDITÀ DELLA GARANZIA O PER 30 GIORNI, A SECONDA DI QUALE TERMINE SIA PIÙ LUNGO. </w:t>
      </w:r>
      <w:r>
        <w:rPr>
          <w:sz w:val="20"/>
        </w:rPr>
        <w:t>Qualora il primo utente trasferisca il software, il periodo rimanente della garanzia si applicherà al cessionario.</w:t>
      </w:r>
    </w:p>
    <w:p w:rsidR="005E7217" w:rsidRPr="00C52CA4" w:rsidRDefault="007F6479" w:rsidP="00C52CA4">
      <w:pPr>
        <w:pStyle w:val="Default"/>
        <w:spacing w:before="120" w:after="120"/>
        <w:ind w:left="360"/>
        <w:rPr>
          <w:sz w:val="20"/>
          <w:szCs w:val="20"/>
        </w:rPr>
      </w:pPr>
      <w:r>
        <w:rPr>
          <w:b/>
          <w:sz w:val="20"/>
        </w:rPr>
        <w:t>NELLA MISURA CONSENTITA DALLA LEGGE, EVENTUALI GARANZIE O CONDIZIONI IMPLICITE RESTERANNO IN VIGORE PER IL PERIODO DI VALIDITÀ DELLA GARANZIA LIMITATA.</w:t>
      </w:r>
      <w:r>
        <w:rPr>
          <w:sz w:val="20"/>
        </w:rPr>
        <w:t xml:space="preserve"> Alcuni paesi non consentono limitazioni circa la durata delle garanzie implicite, pertanto queste limitazioni potrebbero non essere applicabili al licenziatario. Potrebbero inoltre non essere applicabili al licenziatario in quanto in alcuni Paesi potrebbero non essere consentite limitazioni alla durata di una garanzia o condizione implicita.</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 xml:space="preserve">ESCLUSIONI DALLA GARANZIA. </w:t>
      </w:r>
      <w:r>
        <w:rPr>
          <w:sz w:val="20"/>
        </w:rPr>
        <w:t>La presente garanzia non si applica a problemi derivanti da azioni (o da omissioni) del licenziatario o di terzi o da eventi al di fuori del ragionevole controllo di Microsoft.</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lastRenderedPageBreak/>
        <w:t>RIMEDI PER INADEMPIMENTO DELLA GARANZIA.</w:t>
      </w:r>
      <w:r>
        <w:rPr>
          <w:sz w:val="20"/>
        </w:rPr>
        <w:t xml:space="preserve"> </w:t>
      </w:r>
      <w:r>
        <w:rPr>
          <w:b/>
          <w:sz w:val="20"/>
        </w:rPr>
        <w:t>MICROSOFT RIPARERÀ O SOSTITUIRÀ IL SOFTWARE SENZA ALCUN COSTO AGGIUNTIVO. QUALORA LA RIPARAZIONE O LA SOSTITUZIONE NON SIA POSSIBILE, MICROSOFT RIMBORSERÀ L’IMPORTO INDICATO SULLA RICEVUTA DI ACQUISTO DEL SOFTWARE. MICROSOFT RIPARERÀ O SOSTITUIRÀ INOLTRE I SUPPLEMENTI, GLI AGGIORNAMENTI E IL SOFTWARE SOSTITUTIVO SENZA ALCUN COSTO AGGIUNTIVO. QUALORA MICROSOFT NON POSSA ESEGUIRE LA RIPARAZIONE O LA SOSTITUZIONE, RIMBORSERÀ L’EVENTUALE IMPORTO PAGATO DAL LICENZIATARIO. IL LICENZIATARIO DOVRÀ DISINSTALLARE IL SOFTWARE E RESTITUIRLO A MICROSOFT UNITAMENTE A TUTTI I SUPPORTI, AGLI ALTRI MATERIALI AD ESSO ASSOCIATI E ALLA PROVA DELL’AVVENUTO ACQUISTO PER OTTENERE IL RIMBORSO. QUESTI SONO GLI UNICI RIMEDI DEL LICENZIATARIO RELATIVI AGLI INADEMPIMENTI DELLA GARANZIA LIMITATA.</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DIRITTI DEI CONSUMATORI.</w:t>
      </w:r>
      <w:r>
        <w:rPr>
          <w:sz w:val="20"/>
        </w:rPr>
        <w:t xml:space="preserve"> </w:t>
      </w:r>
      <w:r>
        <w:rPr>
          <w:b/>
          <w:sz w:val="20"/>
        </w:rPr>
        <w:t>IL PRESENTE CONTRATTO NON MODIFICA GLI EVENTUALI DIRITTI DEI CONSUMATORI RICONOSCIUTI AL LICENZIATARIO DALLA LEGGE LOCALE.</w:t>
      </w:r>
    </w:p>
    <w:p w:rsidR="00D67A09" w:rsidRPr="00C52CA4" w:rsidRDefault="007F6479" w:rsidP="00C52CA4">
      <w:pPr>
        <w:pStyle w:val="Default"/>
        <w:numPr>
          <w:ilvl w:val="0"/>
          <w:numId w:val="24"/>
        </w:numPr>
        <w:tabs>
          <w:tab w:val="left" w:pos="360"/>
        </w:tabs>
        <w:spacing w:before="120" w:after="120"/>
        <w:ind w:left="360"/>
        <w:rPr>
          <w:sz w:val="20"/>
          <w:szCs w:val="20"/>
        </w:rPr>
      </w:pPr>
      <w:r>
        <w:rPr>
          <w:b/>
          <w:sz w:val="20"/>
        </w:rPr>
        <w:t>PROCEDURE PER LA GARANZIA.</w:t>
      </w:r>
      <w:r>
        <w:rPr>
          <w:sz w:val="20"/>
        </w:rPr>
        <w:t xml:space="preserve"> Per usufruire del servizio di garanzia, il licenziatario deve disporre della prova di acquisto.</w:t>
      </w:r>
    </w:p>
    <w:p w:rsidR="00D67A09" w:rsidRPr="00C52CA4" w:rsidRDefault="007F6479" w:rsidP="00C52CA4">
      <w:pPr>
        <w:pStyle w:val="Default"/>
        <w:numPr>
          <w:ilvl w:val="1"/>
          <w:numId w:val="24"/>
        </w:numPr>
        <w:tabs>
          <w:tab w:val="left" w:pos="720"/>
        </w:tabs>
        <w:spacing w:before="120" w:after="120"/>
        <w:ind w:left="720"/>
        <w:rPr>
          <w:sz w:val="20"/>
          <w:szCs w:val="20"/>
        </w:rPr>
      </w:pPr>
      <w:r>
        <w:rPr>
          <w:b/>
          <w:sz w:val="20"/>
        </w:rPr>
        <w:t>Stati Uniti e Canada</w:t>
      </w:r>
      <w:r>
        <w:t>.</w:t>
      </w:r>
      <w:r>
        <w:rPr>
          <w:sz w:val="20"/>
        </w:rPr>
        <w:t xml:space="preserve"> Per disporre del servizio di garanzia o per informazioni su come ottenere il rimborso per il software acquistato negli Stati Uniti e in Canada, il licenziatario può contattare Microsoft: </w:t>
      </w:r>
    </w:p>
    <w:p w:rsidR="00D67A09"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 xml:space="preserve">(800) MICROSOFT; </w:t>
      </w:r>
    </w:p>
    <w:p w:rsidR="00D67A09"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 xml:space="preserve">all’indirizzo Microsoft Customer Service and Support, One Microsoft Way/Redmond, WA 98052-6399 oppure </w:t>
      </w:r>
    </w:p>
    <w:p w:rsidR="005E7217"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 xml:space="preserve">Visitando </w:t>
      </w:r>
      <w:hyperlink r:id="rId10" w:history="1">
        <w:r>
          <w:rPr>
            <w:rStyle w:val="Hyperlink"/>
            <w:sz w:val="20"/>
          </w:rPr>
          <w:t>aka.ms/nareturns</w:t>
        </w:r>
      </w:hyperlink>
      <w:r>
        <w:rPr>
          <w:sz w:val="20"/>
        </w:rPr>
        <w:t xml:space="preserve"> o inviando un messaggio di posta elettronica all’indirizzo </w:t>
      </w:r>
      <w:hyperlink r:id="rId11" w:history="1">
        <w:r>
          <w:rPr>
            <w:rStyle w:val="Hyperlink"/>
            <w:sz w:val="20"/>
          </w:rPr>
          <w:t>xamacctg@microsoft.com</w:t>
        </w:r>
      </w:hyperlink>
      <w:r>
        <w:rPr>
          <w:sz w:val="20"/>
        </w:rPr>
        <w:t>.</w:t>
      </w:r>
    </w:p>
    <w:p w:rsidR="00D67A09" w:rsidRPr="00C52CA4" w:rsidRDefault="007F6479" w:rsidP="00C52CA4">
      <w:pPr>
        <w:pStyle w:val="Default"/>
        <w:numPr>
          <w:ilvl w:val="1"/>
          <w:numId w:val="24"/>
        </w:numPr>
        <w:tabs>
          <w:tab w:val="left" w:pos="720"/>
        </w:tabs>
        <w:spacing w:before="120" w:after="120"/>
        <w:ind w:left="720"/>
        <w:rPr>
          <w:sz w:val="20"/>
          <w:szCs w:val="20"/>
        </w:rPr>
      </w:pPr>
      <w:r>
        <w:rPr>
          <w:b/>
          <w:sz w:val="20"/>
        </w:rPr>
        <w:t>Europa, Medio Oriente e Africa.</w:t>
      </w:r>
      <w:r>
        <w:rPr>
          <w:sz w:val="20"/>
        </w:rPr>
        <w:t xml:space="preserve"> Se il licenziatario ha acquistato il software in Europa, Medio Oriente o Africa, la presente garanzia limitata è concessa da Microsoft Ireland Operations Limited. Per presentare eventuali reclami ai sensi della presente garanzia, il licenziatario deve contattare: </w:t>
      </w:r>
    </w:p>
    <w:p w:rsidR="00EE141A"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 xml:space="preserve">Microsoft Ireland Operations Limited, Customer Care Centre, Atrium Building Block B, Carmanhall Road, Sandyford Industrial Estate, Dublin 18, Ireland oppure </w:t>
      </w:r>
    </w:p>
    <w:p w:rsidR="00C73DAA"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t xml:space="preserve">la consociata Microsoft del proprio Paese visitando la pagina </w:t>
      </w:r>
      <w:hyperlink r:id="rId12" w:history="1">
        <w:r>
          <w:rPr>
            <w:rStyle w:val="Hyperlink"/>
          </w:rPr>
          <w:t>(</w:t>
        </w:r>
        <w:r>
          <w:rPr>
            <w:rStyle w:val="Hyperlink"/>
            <w:sz w:val="20"/>
          </w:rPr>
          <w:t>aka.ms/msoffices</w:t>
        </w:r>
      </w:hyperlink>
      <w:r>
        <w:rPr>
          <w:sz w:val="20"/>
        </w:rPr>
        <w:t>).</w:t>
      </w:r>
    </w:p>
    <w:p w:rsidR="00D67A09" w:rsidRPr="00C52CA4" w:rsidRDefault="007F6479" w:rsidP="00C52CA4">
      <w:pPr>
        <w:pStyle w:val="Default"/>
        <w:numPr>
          <w:ilvl w:val="1"/>
          <w:numId w:val="24"/>
        </w:numPr>
        <w:tabs>
          <w:tab w:val="left" w:pos="720"/>
        </w:tabs>
        <w:spacing w:before="120" w:after="120"/>
        <w:ind w:left="720"/>
        <w:rPr>
          <w:sz w:val="20"/>
          <w:szCs w:val="20"/>
        </w:rPr>
      </w:pPr>
      <w:r>
        <w:rPr>
          <w:b/>
          <w:sz w:val="20"/>
        </w:rPr>
        <w:t>Australia</w:t>
      </w:r>
      <w:r>
        <w:rPr>
          <w:sz w:val="20"/>
        </w:rPr>
        <w:t xml:space="preserve">. Per ricevere i Servizi di Garanzia o un rimborso spese in relazione alla garanzia (a seconda dei casi) per il software acquistato in Australia, il licenziatario può contattare Microsoft al numero </w:t>
      </w:r>
    </w:p>
    <w:p w:rsidR="00D67A09"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 xml:space="preserve">13 20 58 o </w:t>
      </w:r>
    </w:p>
    <w:p w:rsidR="00D67A09" w:rsidRPr="00C52CA4" w:rsidRDefault="007F6479" w:rsidP="00C52CA4">
      <w:pPr>
        <w:pStyle w:val="Default"/>
        <w:widowControl/>
        <w:numPr>
          <w:ilvl w:val="1"/>
          <w:numId w:val="10"/>
        </w:numPr>
        <w:tabs>
          <w:tab w:val="left" w:pos="1080"/>
        </w:tabs>
        <w:autoSpaceDE/>
        <w:autoSpaceDN/>
        <w:adjustRightInd/>
        <w:spacing w:before="120" w:after="120"/>
        <w:ind w:left="1080"/>
        <w:rPr>
          <w:sz w:val="20"/>
          <w:szCs w:val="20"/>
        </w:rPr>
      </w:pPr>
      <w:r>
        <w:rPr>
          <w:sz w:val="20"/>
        </w:rPr>
        <w:t>scrivendo a Microsoft Pty Ltd, 1 Epping Road, North Ryde NSW 2113, Australia.</w:t>
      </w:r>
    </w:p>
    <w:p w:rsidR="00D67A09" w:rsidRPr="00C52CA4" w:rsidRDefault="007F6479" w:rsidP="00C52CA4">
      <w:pPr>
        <w:pStyle w:val="Default"/>
        <w:numPr>
          <w:ilvl w:val="1"/>
          <w:numId w:val="24"/>
        </w:numPr>
        <w:tabs>
          <w:tab w:val="left" w:pos="720"/>
        </w:tabs>
        <w:spacing w:before="120" w:after="120"/>
        <w:ind w:left="720"/>
        <w:rPr>
          <w:sz w:val="20"/>
          <w:szCs w:val="20"/>
        </w:rPr>
      </w:pPr>
      <w:r>
        <w:rPr>
          <w:b/>
        </w:rPr>
        <w:t>Al di fuori di Stati Uniti, Canada, Europa, Medio Oriente, Africa e Australia.</w:t>
      </w:r>
      <w:r>
        <w:rPr>
          <w:sz w:val="20"/>
        </w:rPr>
        <w:t xml:space="preserve"> </w:t>
      </w:r>
      <w:r>
        <w:t xml:space="preserve">Qualora il licenziatario abbia acquistato il software al di fuori di Stati Uniti, Canada, Europa, Medio Oriente, Africa e Australia, dovrà contattare la consociata Microsoft del proprio Paese visitando la pagina </w:t>
      </w:r>
      <w:hyperlink r:id="rId13" w:history="1">
        <w:r>
          <w:rPr>
            <w:rStyle w:val="Hyperlink"/>
          </w:rPr>
          <w:t>(aka.ms/msoffices</w:t>
        </w:r>
      </w:hyperlink>
      <w:r>
        <w:t>).</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lastRenderedPageBreak/>
        <w:t>ESCLUSIONE DI ALTRE GARANZIE.</w:t>
      </w:r>
      <w:r>
        <w:rPr>
          <w:sz w:val="20"/>
        </w:rPr>
        <w:t xml:space="preserve"> </w:t>
      </w:r>
      <w:r>
        <w:rPr>
          <w:b/>
          <w:sz w:val="20"/>
        </w:rPr>
        <w:t xml:space="preserve">LA GARANZIA LIMITATA È L’UNICA GARANZIA DIRETTA CONCESSA DA MICROSOFT. NON VENGONO FORNITE ALTRE GARANZIE O CONDIZIONI ESPRESSE. NELLA MISURA MASSIMA CONSENTITA DALLA LEGGE APPLICABILE, MICROSOFT ESCLUDE EVENTUALI GARANZIE IMPLICITE DI COMMERCIABILITÀ, IDONEITÀ PER UNO SCOPO SPECIFICO E NON VIOLAZIONE DEI DIRITTI ALTRUI. </w:t>
      </w:r>
      <w:r>
        <w:rPr>
          <w:sz w:val="20"/>
        </w:rPr>
        <w:t>Qualora, nonostante la presente esclusione, le leggi locali riconoscano al licenziatario eventuali garanzie o condizioni implicite, i rimedi del licenziatario descritti nella clausola Rimedi per Inadempimento della Garanzia troveranno comunque applicazione, nella misura consentita dalle leggi locali.</w:t>
      </w:r>
    </w:p>
    <w:p w:rsidR="005E7217" w:rsidRPr="00C52CA4" w:rsidRDefault="007F6479" w:rsidP="00C52CA4">
      <w:pPr>
        <w:pStyle w:val="Default"/>
        <w:spacing w:before="120" w:after="120"/>
        <w:ind w:left="360"/>
        <w:rPr>
          <w:sz w:val="20"/>
          <w:szCs w:val="20"/>
        </w:rPr>
      </w:pPr>
      <w:r>
        <w:rPr>
          <w:b/>
          <w:sz w:val="20"/>
        </w:rPr>
        <w:t>SOLO PER L’AUSTRALIA.</w:t>
      </w:r>
      <w:r>
        <w:rPr>
          <w:sz w:val="20"/>
        </w:rPr>
        <w:t xml:space="preserve"> Il termine </w:t>
      </w:r>
      <w:r>
        <w:rPr>
          <w:sz w:val="20"/>
          <w:cs/>
        </w:rPr>
        <w:t>“</w:t>
      </w:r>
      <w:r>
        <w:rPr>
          <w:sz w:val="20"/>
        </w:rPr>
        <w:t>Garanzia Limitata</w:t>
      </w:r>
      <w:r>
        <w:rPr>
          <w:sz w:val="20"/>
          <w:cs/>
        </w:rPr>
        <w:t xml:space="preserve">” </w:t>
      </w:r>
      <w:r>
        <w:rPr>
          <w:sz w:val="20"/>
        </w:rPr>
        <w:t>fa riferimento alla garanzia fornita da Microsoft. Questa garanzia viene fornita in aggiunta agli altri diritti e rimedi riconosciuti al licenziatario per legge, inclusi i diritti e i rimedi previsti in conformità alle garanzie di legge stabilite ai sensi della Australian Consumer Law. I beni Microsoft sono accompagnati da garanzie la cui esclusione ai sensi della Australian Consumer Law non è consentita. L’utente è autorizzato a ottenere una sostituzione o un rimborso in caso di guasto grave e un indennizzo per qualsiasi altra perdita o danno ragionevolmente prevedibile. L’utente è anche autorizzato a richiedere la riparazione o la sostituzione dei beni qualora la loro qualità non sia accettabile e il guasto non venga considerato grave. I beni presentati per essere riparati potranno essere sostituiti con beni ricondizionati dello stesso tipo, invece che riparati. Per la riparazione dei beni potranno essere utilizzate parti rigenerate.</w:t>
      </w:r>
    </w:p>
    <w:p w:rsidR="005E7217" w:rsidRPr="00C52CA4" w:rsidRDefault="007F6479" w:rsidP="00C52CA4">
      <w:pPr>
        <w:pStyle w:val="Default"/>
        <w:numPr>
          <w:ilvl w:val="0"/>
          <w:numId w:val="24"/>
        </w:numPr>
        <w:tabs>
          <w:tab w:val="left" w:pos="360"/>
        </w:tabs>
        <w:spacing w:before="120" w:after="120"/>
        <w:ind w:left="360"/>
        <w:rPr>
          <w:sz w:val="20"/>
          <w:szCs w:val="20"/>
        </w:rPr>
      </w:pPr>
      <w:r>
        <w:rPr>
          <w:b/>
          <w:sz w:val="20"/>
        </w:rPr>
        <w:t>LIMITAZIONE DI RESPONSABILITÀ ED ESCLUSIONE DI DANNI PER INADEMPIMENTO DELLA GARANZIA. LA CLAUSOLA LIMITAZIONE DI RESPONSABILITÀ ED ESCLUSIONE DI DANNI RIPORTATA NELL’ARTICOLO III CHE SEGUE SI APPLICA AGLI INADEMPIMENTI DELLA PRESENTE GARANZIA LIMITATA.</w:t>
      </w:r>
    </w:p>
    <w:p w:rsidR="005E7217" w:rsidRPr="00C52CA4" w:rsidRDefault="007F6479" w:rsidP="00C52CA4">
      <w:pPr>
        <w:pStyle w:val="Default"/>
        <w:spacing w:before="120" w:after="120"/>
        <w:ind w:left="360"/>
        <w:rPr>
          <w:b/>
          <w:sz w:val="20"/>
          <w:szCs w:val="20"/>
        </w:rPr>
      </w:pPr>
      <w:r>
        <w:rPr>
          <w:b/>
          <w:sz w:val="20"/>
        </w:rPr>
        <w:t>OLTRE AGLI SPECIFICI DIRITTI RICONOSCIUTI AL LICENZIATARIO CONFERITI DALLA PRESENTE GARANZIA, IL LICENZIATARIO POTREBBE BENEFICIARE DI ALTRI DIRITTI CHE VARIANO DA STATO A STATO. IL LICENZIATARIO POTREBBE, INOLTRE, BENEFICIARE DI ALTRI DIRITTI CHE VARIANO DA PAESE A PAESE.</w:t>
      </w:r>
    </w:p>
    <w:p w:rsidR="005E7217" w:rsidRPr="00C52CA4" w:rsidRDefault="005E7217" w:rsidP="00C52CA4">
      <w:pPr>
        <w:pBdr>
          <w:bottom w:val="single" w:sz="4" w:space="1" w:color="auto"/>
        </w:pBdr>
        <w:spacing w:before="120" w:after="120" w:line="240" w:lineRule="auto"/>
        <w:rPr>
          <w:rFonts w:ascii="Tahoma" w:hAnsi="Tahoma" w:cs="Tahoma"/>
          <w:sz w:val="20"/>
          <w:szCs w:val="20"/>
        </w:rPr>
      </w:pPr>
    </w:p>
    <w:p w:rsidR="005E7217" w:rsidRPr="00C52CA4" w:rsidRDefault="007F6479" w:rsidP="00C52CA4">
      <w:pPr>
        <w:pStyle w:val="Default"/>
        <w:spacing w:before="120" w:after="120"/>
        <w:rPr>
          <w:sz w:val="20"/>
          <w:szCs w:val="20"/>
        </w:rPr>
      </w:pPr>
      <w:r>
        <w:rPr>
          <w:b/>
          <w:sz w:val="20"/>
        </w:rPr>
        <w:t xml:space="preserve">ARTICOLO III. CONDIZIONI GENERALI. </w:t>
      </w:r>
      <w:r>
        <w:rPr>
          <w:sz w:val="20"/>
        </w:rPr>
        <w:t>Le condizioni contenute nel presente Articolo si applicano a tutte le edizioni del software elencato sopra.</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COMPONENTI DI TERZI. </w:t>
      </w:r>
      <w:r>
        <w:rPr>
          <w:sz w:val="20"/>
        </w:rPr>
        <w:t xml:space="preserve">Il software potrà includere componenti di terzi con comunicazioni legali distinte o disciplinati da altri contratti, come indicato nel o nei file ThirdPartyNotices relativi al software. </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FUNZIONALITÀ DI GESTIONE PACCHETTI. </w:t>
      </w:r>
      <w:r>
        <w:rPr>
          <w:sz w:val="20"/>
        </w:rPr>
        <w:t>Il software potrà includere funzionalità di gestione dei pacchetti, quali NuGet, che consentono di scaricare altri pacchetti software di terzi e di Microsoft da utilizzare con l’applicazione. Tali pacchetti sono disciplinati da licenze proprie, non dal presente contratto. Microsoft non distribuisce pacchetti di terzi né concede in licenza o fornisce alcuna garanzia al licenziatario in merito ad alcuno di tali pacchetti.</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CODICE DISTRIBUIBILE. </w:t>
      </w:r>
      <w:r>
        <w:rPr>
          <w:sz w:val="20"/>
        </w:rPr>
        <w:t xml:space="preserve">Il software contiene codice che il licenziatario potrà distribuire nelle applicazioni che svilupperà nella modalità indicata nel presente Articolo. (Ai fini dell’interpretazione del presente Articolo il termine </w:t>
      </w:r>
      <w:r>
        <w:rPr>
          <w:sz w:val="20"/>
          <w:cs/>
        </w:rPr>
        <w:t>“</w:t>
      </w:r>
      <w:r>
        <w:rPr>
          <w:sz w:val="20"/>
        </w:rPr>
        <w:t>distribuzione</w:t>
      </w:r>
      <w:r>
        <w:rPr>
          <w:sz w:val="20"/>
          <w:cs/>
        </w:rPr>
        <w:t xml:space="preserve">” </w:t>
      </w:r>
      <w:r>
        <w:rPr>
          <w:sz w:val="20"/>
        </w:rPr>
        <w:t>indica anche la distribuzione delle applicazioni del licenziatario per fornire a terzi l’accesso a Internet).</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Diritto di Utilizzo e Distribuzione. </w:t>
      </w:r>
      <w:r>
        <w:rPr>
          <w:sz w:val="20"/>
        </w:rPr>
        <w:t>Il codice e i file di testo elencati di seguito costituiscono</w:t>
      </w:r>
      <w:r>
        <w:rPr>
          <w:b/>
          <w:sz w:val="20"/>
        </w:rPr>
        <w:t xml:space="preserve"> il </w:t>
      </w:r>
      <w:r>
        <w:rPr>
          <w:b/>
          <w:sz w:val="20"/>
          <w:cs/>
        </w:rPr>
        <w:t>“</w:t>
      </w:r>
      <w:r>
        <w:rPr>
          <w:b/>
          <w:sz w:val="20"/>
        </w:rPr>
        <w:t>Codice Distribuibile</w:t>
      </w:r>
      <w:r>
        <w:rPr>
          <w:b/>
          <w:sz w:val="20"/>
          <w:cs/>
        </w:rPr>
        <w:t>”</w:t>
      </w:r>
      <w:r>
        <w:rPr>
          <w:b/>
          <w:sz w:val="20"/>
        </w:rPr>
        <w:t>.</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u w:val="single"/>
        </w:rPr>
        <w:lastRenderedPageBreak/>
        <w:t xml:space="preserve">File REDIST.TXT. </w:t>
      </w:r>
      <w:r>
        <w:t>Il licenziatario potrà duplicare e distribuire il formato in codice oggetto del codice riportato nell’elenco REDIST disponibile all’indirizzo</w:t>
      </w:r>
      <w:r>
        <w:rPr>
          <w:sz w:val="20"/>
        </w:rPr>
        <w:t> </w:t>
      </w:r>
      <w:hyperlink r:id="rId14" w:history="1">
        <w:r>
          <w:rPr>
            <w:rStyle w:val="Hyperlink"/>
            <w:sz w:val="20"/>
          </w:rPr>
          <w:t>https://go.microsoft.com/fwlink/?linkid=823097</w:t>
        </w:r>
      </w:hyperlink>
      <w:r>
        <w:rPr>
          <w:sz w:val="20"/>
        </w:rPr>
        <w:t>.</w:t>
      </w:r>
    </w:p>
    <w:p w:rsidR="0034315C" w:rsidRPr="00C52CA4" w:rsidRDefault="007F6479" w:rsidP="00C52CA4">
      <w:pPr>
        <w:pStyle w:val="Default"/>
        <w:numPr>
          <w:ilvl w:val="0"/>
          <w:numId w:val="20"/>
        </w:numPr>
        <w:tabs>
          <w:tab w:val="left" w:pos="1080"/>
        </w:tabs>
        <w:spacing w:before="120" w:after="120"/>
        <w:ind w:left="1080"/>
        <w:rPr>
          <w:sz w:val="20"/>
          <w:szCs w:val="20"/>
        </w:rPr>
      </w:pPr>
      <w:r>
        <w:rPr>
          <w:u w:val="single"/>
        </w:rPr>
        <w:t>Codice Campione e Modelli</w:t>
      </w:r>
      <w:r>
        <w:t>.</w:t>
      </w:r>
      <w:r>
        <w:rPr>
          <w:sz w:val="20"/>
        </w:rPr>
        <w:t xml:space="preserve"> Il licenziatario potrà duplicare, modificare e distribuire il formato in codice sorgente e in codice oggetto di qualsiasi codice identificato come </w:t>
      </w:r>
      <w:r>
        <w:rPr>
          <w:sz w:val="20"/>
          <w:cs/>
        </w:rPr>
        <w:t>“</w:t>
      </w:r>
      <w:r>
        <w:rPr>
          <w:sz w:val="20"/>
        </w:rPr>
        <w:t>campione</w:t>
      </w:r>
      <w:r>
        <w:rPr>
          <w:sz w:val="20"/>
          <w:cs/>
        </w:rPr>
        <w:t xml:space="preserve">” </w:t>
      </w:r>
      <w:r>
        <w:rPr>
          <w:sz w:val="20"/>
        </w:rPr>
        <w:t xml:space="preserve">o </w:t>
      </w:r>
      <w:r>
        <w:rPr>
          <w:sz w:val="20"/>
          <w:cs/>
        </w:rPr>
        <w:t>“</w:t>
      </w:r>
      <w:r>
        <w:rPr>
          <w:sz w:val="20"/>
        </w:rPr>
        <w:t>modello</w:t>
      </w:r>
      <w:r>
        <w:rPr>
          <w:sz w:val="20"/>
          <w:cs/>
        </w:rPr>
        <w:t>”</w:t>
      </w:r>
      <w:r>
        <w:rPr>
          <w:sz w:val="20"/>
        </w:rPr>
        <w:t>.</w:t>
      </w:r>
    </w:p>
    <w:p w:rsidR="0034315C" w:rsidRPr="00C52CA4" w:rsidRDefault="007F6479" w:rsidP="00C52CA4">
      <w:pPr>
        <w:pStyle w:val="Default"/>
        <w:numPr>
          <w:ilvl w:val="0"/>
          <w:numId w:val="20"/>
        </w:numPr>
        <w:tabs>
          <w:tab w:val="left" w:pos="1080"/>
        </w:tabs>
        <w:spacing w:before="120" w:after="120"/>
        <w:ind w:left="1080"/>
        <w:rPr>
          <w:sz w:val="20"/>
          <w:szCs w:val="20"/>
        </w:rPr>
      </w:pPr>
      <w:r>
        <w:rPr>
          <w:sz w:val="20"/>
          <w:u w:val="single"/>
        </w:rPr>
        <w:t>Image Library</w:t>
      </w:r>
      <w:r>
        <w:rPr>
          <w:sz w:val="20"/>
        </w:rPr>
        <w:t>. Il licenziatario potrà duplicare e distribuire immagini, grafica e animazioni di Image Library secondo le modalità descritte nella documentazione del software. </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u w:val="single"/>
        </w:rPr>
        <w:t>Distribuzione da parte di Terzi</w:t>
      </w:r>
      <w:r>
        <w:t>.</w:t>
      </w:r>
      <w:r>
        <w:rPr>
          <w:sz w:val="20"/>
        </w:rPr>
        <w:t xml:space="preserve"> Il licenziatario potrà autorizzare i distributori delle sue applicazioni a duplicare e distribuire il Codice Distribuibile insieme a tali applicazioni. </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 xml:space="preserve">Requisiti per la Distribuzione. </w:t>
      </w:r>
      <w:r>
        <w:rPr>
          <w:sz w:val="20"/>
        </w:rPr>
        <w:t>Per distribuire il Codice Distribuibile, il licenziatario dovrà:</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rPr>
        <w:t xml:space="preserve">aggiungervi rilevanti e significative funzionalità nelle applicazioni; </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rPr>
        <w:t>far accettare ai distributori e agli utenti finali esterni un contratto con condizioni che garantiscano almeno lo stesso livello di tutela del Codice Distribuibile definito nel presente contratto e</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rPr>
        <w:t>indennizzare, manlevare e difendere Microsoft da qualsiasi reclamo, ivi inclusi i corrispettivi legali, relativo all’utilizzo o alla distribuzione delle proprie applicazioni, a meno che questo si basi esclusivamente sul Codice Distribuibile.</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Restrizioni per la Distribuzione.</w:t>
      </w:r>
      <w:r>
        <w:rPr>
          <w:sz w:val="20"/>
        </w:rPr>
        <w:t xml:space="preserve"> L’utente non potrà:</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rPr>
        <w:t>utilizzare i marchi di Microsoft nei nomi delle proprie applicazioni o in modo tale da suggerire che tali applicazioni provengano o siano approvate da Microsoft né</w:t>
      </w:r>
    </w:p>
    <w:p w:rsidR="005E7217" w:rsidRPr="00C52CA4" w:rsidRDefault="007F6479" w:rsidP="00C52CA4">
      <w:pPr>
        <w:pStyle w:val="Default"/>
        <w:numPr>
          <w:ilvl w:val="0"/>
          <w:numId w:val="20"/>
        </w:numPr>
        <w:tabs>
          <w:tab w:val="left" w:pos="1080"/>
        </w:tabs>
        <w:spacing w:before="120" w:after="120"/>
        <w:ind w:left="1080"/>
        <w:rPr>
          <w:sz w:val="20"/>
          <w:szCs w:val="20"/>
        </w:rPr>
      </w:pPr>
      <w:r>
        <w:rPr>
          <w:sz w:val="20"/>
        </w:rPr>
        <w:t xml:space="preserve">modificare o distribuire il codice sorgente di qualsiasi Codice Distribuibile in modo che qualsiasi parte di tale codice sia soggetta a una Licenza Esclusa. Una </w:t>
      </w:r>
      <w:r>
        <w:rPr>
          <w:sz w:val="20"/>
          <w:cs/>
        </w:rPr>
        <w:t>“</w:t>
      </w:r>
      <w:r>
        <w:rPr>
          <w:sz w:val="20"/>
        </w:rPr>
        <w:t>Licenza Esclusa</w:t>
      </w:r>
      <w:r>
        <w:rPr>
          <w:sz w:val="20"/>
          <w:cs/>
        </w:rPr>
        <w:t xml:space="preserve">” </w:t>
      </w:r>
      <w:r>
        <w:rPr>
          <w:sz w:val="20"/>
        </w:rPr>
        <w:t>è una licenza che richiede, come condizione per l’utilizzo, la modifica o la distribuzione, che (i) il codice sia divulgato o distribuito nel formato in codice sorgente o (ii) altri abbiano il diritto di modificarlo.</w:t>
      </w:r>
    </w:p>
    <w:p w:rsidR="003B27BE" w:rsidRDefault="007F6479" w:rsidP="00C52CA4">
      <w:pPr>
        <w:pStyle w:val="Default"/>
        <w:numPr>
          <w:ilvl w:val="0"/>
          <w:numId w:val="25"/>
        </w:numPr>
        <w:tabs>
          <w:tab w:val="left" w:pos="360"/>
        </w:tabs>
        <w:spacing w:before="120" w:after="120"/>
        <w:ind w:left="360"/>
        <w:rPr>
          <w:sz w:val="20"/>
          <w:szCs w:val="20"/>
        </w:rPr>
      </w:pPr>
      <w:r>
        <w:rPr>
          <w:b/>
          <w:sz w:val="20"/>
        </w:rPr>
        <w:t xml:space="preserve">DATI. </w:t>
      </w:r>
    </w:p>
    <w:p w:rsidR="005E7217" w:rsidRDefault="007F6479" w:rsidP="00143E32">
      <w:pPr>
        <w:pStyle w:val="Default"/>
        <w:numPr>
          <w:ilvl w:val="1"/>
          <w:numId w:val="25"/>
        </w:numPr>
        <w:tabs>
          <w:tab w:val="left" w:pos="720"/>
        </w:tabs>
        <w:spacing w:before="120" w:after="120"/>
        <w:rPr>
          <w:sz w:val="20"/>
          <w:szCs w:val="20"/>
        </w:rPr>
      </w:pPr>
      <w:r>
        <w:rPr>
          <w:b/>
        </w:rPr>
        <w:t>Raccolta dei dati.</w:t>
      </w:r>
      <w:r>
        <w:rPr>
          <w:sz w:val="20"/>
        </w:rPr>
        <w:t xml:space="preserve"> Tramite il software potranno essere raccolti i dati sul licenziatario e sull’utilizzo del software che verranno inviati a Microsoft e alle sue consociate. Microsoft potrà utilizzarli per erogare i servizi e migliorare i prodotti e i servizi offerti. Il licenziatario potrà rifiutarsi esplicitamente di fornire tali informazioni, ma non tutte, come descritto nella documentazione del prodotto. </w:t>
      </w:r>
      <w:r>
        <w:t xml:space="preserve">Nel software sono disponibili anche </w:t>
      </w:r>
      <w:r>
        <w:rPr>
          <w:color w:val="000000"/>
          <w:sz w:val="20"/>
        </w:rPr>
        <w:t xml:space="preserve">alcune funzionalità che potranno consentire al licenziatario e a Microsoft di raccogliere dati degli utenti delle applicazioni. Qualora il licenziatario utilizzi queste funzionalità, dovrà conformarsi alla legge applicabile, che prevede tra l’altro che agli utenti delle applicazioni vengano fornite comunicazioni appropriate unitamente all’informativa sulla privacy di Microsoft. </w:t>
      </w:r>
      <w:r>
        <w:t xml:space="preserve">L’informativa sulla privacy di Microsoft è disponibile all’indirizzo </w:t>
      </w:r>
      <w:r>
        <w:rPr>
          <w:rStyle w:val="Hyperlink"/>
          <w:sz w:val="20"/>
        </w:rPr>
        <w:t>http://go.microsoft.com/fwlink/?LinkID=528096&amp;clcid=0x409</w:t>
      </w:r>
      <w:r>
        <w:rPr>
          <w:sz w:val="20"/>
        </w:rPr>
        <w:t xml:space="preserve">. Ulteriori informazioni sulla raccolta e il trattamento dei dati sono disponibili nella documentazione di supporto e </w:t>
      </w:r>
      <w:r>
        <w:rPr>
          <w:sz w:val="20"/>
        </w:rPr>
        <w:lastRenderedPageBreak/>
        <w:t>nell’informativa sulla privacy di Microsoft. L’utilizzo del software da parte del licenziatario costituisce accettazione implicita di tali criteri.</w:t>
      </w:r>
    </w:p>
    <w:p w:rsidR="003B27BE" w:rsidRPr="00493EDA" w:rsidRDefault="007F6479" w:rsidP="00493EDA">
      <w:pPr>
        <w:pStyle w:val="Default"/>
        <w:numPr>
          <w:ilvl w:val="1"/>
          <w:numId w:val="25"/>
        </w:numPr>
        <w:tabs>
          <w:tab w:val="left" w:pos="720"/>
        </w:tabs>
        <w:spacing w:before="120" w:after="120"/>
        <w:ind w:left="720"/>
        <w:rPr>
          <w:sz w:val="20"/>
          <w:szCs w:val="20"/>
        </w:rPr>
      </w:pPr>
      <w:r>
        <w:rPr>
          <w:b/>
          <w:sz w:val="20"/>
        </w:rPr>
        <w:t>Trattamento dei Dati Personali.</w:t>
      </w:r>
      <w:r>
        <w:rPr>
          <w:sz w:val="20"/>
        </w:rPr>
        <w:t xml:space="preserve"> Qualora Microsoft abbia la funzione di elaboratore principale o secondario dei dati personali relativi al software, Microsoft farà sì che gli impegni nei confronti di tutte le società riportati nelle Condizioni del Regolamento Europeo per la Protezione dei Dati Personali delle Condizioni per l’Utilizzo dei Servizi Online entrino in vigore il 25 maggio 2018 (http://go.microsoft.com/?linkid=9840733).</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AMBITO DI VALIDITÀ DELLA LICENZA. </w:t>
      </w:r>
      <w:r>
        <w:rPr>
          <w:sz w:val="20"/>
        </w:rPr>
        <w:t>Il software non viene venduto, ma è concesso in licenza. Il presente contratto concede al licenziatario solo alcuni diritti di utilizzo del software. Microsoft si riserva tutti gli altri diritti. Nel limite massimo consentito dalla legge applicabile il licenziatario potrà utilizzare il software esclusivamente nei modi espressamente concessi nel presente contratto. Nel far ciò, il contraente dovrà attenersi a qualsiasi limitazione tecnica presente nel software che gli consenta di utilizzarlo solo in determinati modi. L’utente non potrà:</w:t>
      </w:r>
    </w:p>
    <w:p w:rsidR="005E7217" w:rsidRPr="00C52CA4" w:rsidRDefault="007F6479" w:rsidP="00C52CA4">
      <w:pPr>
        <w:pStyle w:val="Default"/>
        <w:numPr>
          <w:ilvl w:val="0"/>
          <w:numId w:val="22"/>
        </w:numPr>
        <w:tabs>
          <w:tab w:val="left" w:pos="720"/>
        </w:tabs>
        <w:spacing w:before="120" w:after="120"/>
        <w:ind w:left="720"/>
        <w:rPr>
          <w:sz w:val="20"/>
          <w:szCs w:val="20"/>
        </w:rPr>
      </w:pPr>
      <w:r>
        <w:rPr>
          <w:sz w:val="20"/>
        </w:rPr>
        <w:t>aggirare le limitazioni tecniche presenti nel software;</w:t>
      </w:r>
    </w:p>
    <w:p w:rsidR="005E7217" w:rsidRPr="00C52CA4" w:rsidRDefault="007F6479" w:rsidP="00C52CA4">
      <w:pPr>
        <w:pStyle w:val="Default"/>
        <w:numPr>
          <w:ilvl w:val="0"/>
          <w:numId w:val="22"/>
        </w:numPr>
        <w:tabs>
          <w:tab w:val="left" w:pos="720"/>
        </w:tabs>
        <w:spacing w:before="120" w:after="120"/>
        <w:ind w:left="720"/>
        <w:rPr>
          <w:sz w:val="20"/>
          <w:szCs w:val="20"/>
        </w:rPr>
      </w:pPr>
      <w:r>
        <w:rPr>
          <w:sz w:val="20"/>
        </w:rPr>
        <w:t>decodificare, decompilare o disassemblare il software né in altro modo tentare di derivare il codice sorgente del software, fatta eccezione per i casi previsti da condizioni di licenza di terzi che disciplinano l’utilizzo di alcuni componenti open source che potrebbero essere inclusi nel software;</w:t>
      </w:r>
    </w:p>
    <w:p w:rsidR="005E7217" w:rsidRPr="00C52CA4" w:rsidRDefault="007F6479" w:rsidP="00C52CA4">
      <w:pPr>
        <w:pStyle w:val="Default"/>
        <w:numPr>
          <w:ilvl w:val="0"/>
          <w:numId w:val="22"/>
        </w:numPr>
        <w:tabs>
          <w:tab w:val="left" w:pos="720"/>
        </w:tabs>
        <w:spacing w:before="120" w:after="120"/>
        <w:ind w:left="720"/>
        <w:rPr>
          <w:sz w:val="20"/>
          <w:szCs w:val="20"/>
        </w:rPr>
      </w:pPr>
      <w:r>
        <w:rPr>
          <w:sz w:val="20"/>
        </w:rPr>
        <w:t>rimuovere, ridurre al minimo, bloccare o modificare alcuna comunicazione di Microsoft o dei suoi fornitori relativamente al software;</w:t>
      </w:r>
    </w:p>
    <w:p w:rsidR="005E7217" w:rsidRPr="00C52CA4" w:rsidRDefault="007F6479" w:rsidP="00C52CA4">
      <w:pPr>
        <w:pStyle w:val="Default"/>
        <w:numPr>
          <w:ilvl w:val="0"/>
          <w:numId w:val="22"/>
        </w:numPr>
        <w:tabs>
          <w:tab w:val="left" w:pos="720"/>
        </w:tabs>
        <w:spacing w:before="120" w:after="120"/>
        <w:ind w:left="720"/>
        <w:rPr>
          <w:sz w:val="20"/>
          <w:szCs w:val="20"/>
        </w:rPr>
      </w:pPr>
      <w:r>
        <w:rPr>
          <w:sz w:val="20"/>
        </w:rPr>
        <w:t>utilizzare il software in contrasto con la legge o</w:t>
      </w:r>
    </w:p>
    <w:p w:rsidR="005E7217" w:rsidRPr="00C52CA4" w:rsidRDefault="007F6479" w:rsidP="00C52CA4">
      <w:pPr>
        <w:pStyle w:val="Default"/>
        <w:numPr>
          <w:ilvl w:val="0"/>
          <w:numId w:val="22"/>
        </w:numPr>
        <w:tabs>
          <w:tab w:val="left" w:pos="720"/>
        </w:tabs>
        <w:spacing w:before="120" w:after="120"/>
        <w:ind w:left="720"/>
        <w:rPr>
          <w:sz w:val="20"/>
          <w:szCs w:val="20"/>
        </w:rPr>
      </w:pPr>
      <w:r>
        <w:rPr>
          <w:sz w:val="20"/>
        </w:rPr>
        <w:t>condividere, pubblicare, noleggiare o concedere in locazione il software oppure fornirlo come soluzione autonoma utilizzabile da terzi.</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RESTRIZIONI ALL'ESPORTAZIONE. </w:t>
      </w:r>
      <w:r>
        <w:rPr>
          <w:sz w:val="20"/>
        </w:rPr>
        <w:t xml:space="preserve">Il licenziatario dovrà conformarsi a tutte le leggi e a tutti i regolamenti nazionali e internazionali in materia di esportazione applicabili al software, che includono limitazioni su destinazioni, utenti finali e utilizzo finale. </w:t>
      </w:r>
      <w:r>
        <w:t xml:space="preserve">Per ulteriori informazioni sulle limitazioni all’esportazione, il licenziatario potrà visitare la pagina </w:t>
      </w:r>
      <w:hyperlink r:id="rId15" w:history="1">
        <w:r>
          <w:rPr>
            <w:rStyle w:val="Hyperlink"/>
            <w:sz w:val="20"/>
          </w:rPr>
          <w:t>www.microsoft.com/exporting</w:t>
        </w:r>
      </w:hyperlink>
      <w:r>
        <w:rPr>
          <w:sz w:val="20"/>
        </w:rPr>
        <w:t>.</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INTERO ACCORDO. </w:t>
      </w:r>
      <w:r>
        <w:rPr>
          <w:sz w:val="20"/>
        </w:rPr>
        <w:t>Il presente contratto, inclusa la garanzia di cui sopra, e le condizioni per i supplementi, gli aggiornamenti, i servizi basati su Internet e i servizi di supporto tecnico costituiscono l’intero accordo relativo al software e ai servizi di supporto tecnico.</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LEGGE APPLICABILE. </w:t>
      </w:r>
      <w:r>
        <w:rPr>
          <w:sz w:val="20"/>
        </w:rPr>
        <w:t>Qualora il software sia stato acquistato negli Stati Uniti, il presente contratto è interpretato in base alla legge dello Stato di Washington e tale legge si applica ai reclami aventi come oggetto gli inadempimenti di tale contratto, mentre a tutti gli altri reclami si applicano le leggi dello Stato di residenza del licenziatario. Qualora il licenziatario abbia acquistato il software in qualsivoglia altro Paese, il presente contratto sarà disciplinato dalla legge di tale Stato.</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 xml:space="preserve">DIRITTI DEI CONSUMATORI, VARIAZIONI REGIONALI. </w:t>
      </w:r>
      <w:r>
        <w:rPr>
          <w:sz w:val="20"/>
        </w:rPr>
        <w:t xml:space="preserve">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w:t>
      </w:r>
      <w:r>
        <w:rPr>
          <w:sz w:val="20"/>
        </w:rPr>
        <w:lastRenderedPageBreak/>
        <w:t>software in una delle aree indicate di seguito o si applichi la legge obbligatoria del Paese, sono valide le seguenti disposizioni:</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 xml:space="preserve">Australia. </w:t>
      </w:r>
      <w:r>
        <w:rPr>
          <w:sz w:val="20"/>
        </w:rPr>
        <w:t xml:space="preserve">I riferimenti a </w:t>
      </w:r>
      <w:r>
        <w:rPr>
          <w:sz w:val="20"/>
          <w:cs/>
        </w:rPr>
        <w:t>“</w:t>
      </w:r>
      <w:r>
        <w:rPr>
          <w:sz w:val="20"/>
        </w:rPr>
        <w:t>Garanzia Limitata</w:t>
      </w:r>
      <w:r>
        <w:rPr>
          <w:sz w:val="20"/>
          <w:cs/>
        </w:rPr>
        <w:t xml:space="preserve">” </w:t>
      </w:r>
      <w:r>
        <w:rPr>
          <w:sz w:val="20"/>
        </w:rPr>
        <w:t>sono riferimenti alla garanzia espressa fornita da Microsoft oppure dal produttore o dall’installatore. Questa garanzia integra gli altri diritti e rimedi riconosciuti al licenziatario in base alla legge, inclusi i diritti e i rimedi previsti in conformità alle garanzie di legge stabilite ai sensi della Australian Consumer Law.</w:t>
      </w:r>
    </w:p>
    <w:p w:rsidR="005E7217" w:rsidRPr="00C52CA4" w:rsidRDefault="007F6479" w:rsidP="00C52CA4">
      <w:pPr>
        <w:pStyle w:val="Default"/>
        <w:spacing w:before="120" w:after="120"/>
        <w:ind w:left="720"/>
        <w:rPr>
          <w:sz w:val="20"/>
          <w:szCs w:val="20"/>
        </w:rPr>
      </w:pPr>
      <w:r>
        <w:rPr>
          <w:sz w:val="20"/>
        </w:rPr>
        <w:t xml:space="preserve">Nel presente Articolo il termine </w:t>
      </w:r>
      <w:r>
        <w:rPr>
          <w:sz w:val="20"/>
          <w:cs/>
        </w:rPr>
        <w:t>“</w:t>
      </w:r>
      <w:r>
        <w:rPr>
          <w:sz w:val="20"/>
        </w:rPr>
        <w:t>beni</w:t>
      </w:r>
      <w:r>
        <w:rPr>
          <w:sz w:val="20"/>
          <w:cs/>
        </w:rPr>
        <w:t xml:space="preserve">” </w:t>
      </w:r>
      <w:r>
        <w:rPr>
          <w:sz w:val="20"/>
        </w:rPr>
        <w:t>fa riferimento al software per il quale Microsoft oppure il Produttore o l’installatore fornisce la garanzia espressa. I beni Microsoft sono accompagnati da garanzie la cui esclusione ai sensi della Australian Consumer Law non è consentita. L’utente è autorizzato a ottenere una sostituzione o un rimborso in caso di guasto grave e un indennizzo per qualsiasi altra perdita o danno ragionevolmente prevedibile. Il licenziatario è anche autorizzato a richiedere la riparazione o la sostituzione dei beni qualora la loro qualità non sia accettabile e il guasto non venga considerato grave.</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Canada.</w:t>
      </w:r>
      <w:r>
        <w:rPr>
          <w:sz w:val="20"/>
        </w:rPr>
        <w:t xml:space="preserve"> 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sia inoltre specificato come il licenziatario potrà disattivare gli aggiornamenti per il dispositivo o il software in uso.</w:t>
      </w:r>
    </w:p>
    <w:p w:rsidR="005E7217" w:rsidRPr="00C52CA4" w:rsidRDefault="007F6479" w:rsidP="00C52CA4">
      <w:pPr>
        <w:pStyle w:val="Default"/>
        <w:numPr>
          <w:ilvl w:val="1"/>
          <w:numId w:val="25"/>
        </w:numPr>
        <w:tabs>
          <w:tab w:val="left" w:pos="720"/>
        </w:tabs>
        <w:spacing w:before="120" w:after="120"/>
        <w:ind w:left="720"/>
        <w:rPr>
          <w:sz w:val="20"/>
          <w:szCs w:val="20"/>
        </w:rPr>
      </w:pPr>
      <w:r>
        <w:rPr>
          <w:b/>
          <w:sz w:val="20"/>
        </w:rPr>
        <w:t>Germania e Austria.</w:t>
      </w:r>
    </w:p>
    <w:p w:rsidR="005E7217" w:rsidRPr="00C52CA4" w:rsidRDefault="007F6479" w:rsidP="00C52CA4">
      <w:pPr>
        <w:pStyle w:val="ListParagraph"/>
        <w:numPr>
          <w:ilvl w:val="0"/>
          <w:numId w:val="26"/>
        </w:numPr>
        <w:tabs>
          <w:tab w:val="left" w:pos="1080"/>
        </w:tabs>
        <w:spacing w:before="120" w:after="120" w:line="240" w:lineRule="auto"/>
        <w:ind w:left="1080"/>
        <w:rPr>
          <w:rFonts w:ascii="Tahoma" w:hAnsi="Tahoma" w:cs="Tahoma"/>
          <w:sz w:val="20"/>
          <w:szCs w:val="20"/>
        </w:rPr>
      </w:pPr>
      <w:r>
        <w:rPr>
          <w:rFonts w:ascii="Tahoma" w:hAnsi="Tahoma"/>
          <w:b/>
          <w:sz w:val="20"/>
        </w:rPr>
        <w:t>Garanzia</w:t>
      </w:r>
      <w:r>
        <w:t>.</w:t>
      </w:r>
      <w:r>
        <w:rPr>
          <w:rFonts w:ascii="Tahoma" w:hAnsi="Tahoma"/>
          <w:sz w:val="20"/>
        </w:rPr>
        <w:t xml:space="preserve"> Il software validamente concesso in licenza funzionerà in sostanziale conformità a quanto descritto nel materiale Microsoft fornito con il software. Tuttavia, Microsoft non fornisce alcuna garanzia contrattuale in relazione al software concesso in licenza.</w:t>
      </w:r>
    </w:p>
    <w:p w:rsidR="005E7217" w:rsidRPr="00C52CA4" w:rsidRDefault="007F6479" w:rsidP="00C52CA4">
      <w:pPr>
        <w:pStyle w:val="ListParagraph"/>
        <w:numPr>
          <w:ilvl w:val="0"/>
          <w:numId w:val="26"/>
        </w:numPr>
        <w:tabs>
          <w:tab w:val="left" w:pos="1080"/>
        </w:tabs>
        <w:spacing w:before="120" w:after="120" w:line="240" w:lineRule="auto"/>
        <w:ind w:left="1080"/>
        <w:rPr>
          <w:rFonts w:ascii="Tahoma" w:hAnsi="Tahoma" w:cs="Tahoma"/>
          <w:sz w:val="20"/>
          <w:szCs w:val="20"/>
        </w:rPr>
      </w:pPr>
      <w:r>
        <w:rPr>
          <w:rFonts w:ascii="Tahoma" w:hAnsi="Tahoma"/>
          <w:b/>
          <w:sz w:val="20"/>
        </w:rPr>
        <w:t>Limitazione di Responsabilità</w:t>
      </w:r>
      <w:r>
        <w:rPr>
          <w:rFonts w:ascii="Tahoma" w:hAnsi="Tahoma"/>
          <w:sz w:val="20"/>
        </w:rPr>
        <w:t>. In caso di comportamento intenzionale, colpa grave, reclami basati sulla Legge in materia di Responsabilità Prodotto, così come in caso di morte o lesioni personali, Microsoft è responsabile in conformità alla legge imperativa.</w:t>
      </w:r>
    </w:p>
    <w:p w:rsidR="005E7217" w:rsidRPr="00C52CA4" w:rsidRDefault="007F6479" w:rsidP="00C52CA4">
      <w:pPr>
        <w:pStyle w:val="Default"/>
        <w:spacing w:before="120" w:after="120"/>
        <w:ind w:left="717"/>
        <w:rPr>
          <w:sz w:val="20"/>
          <w:szCs w:val="20"/>
        </w:rPr>
      </w:pPr>
      <w:r>
        <w:rPr>
          <w:sz w:val="20"/>
        </w:rPr>
        <w:t xml:space="preserve">In riferimento a quanto detto nella clausola precedente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w:t>
      </w:r>
      <w:r>
        <w:rPr>
          <w:sz w:val="20"/>
          <w:cs/>
        </w:rPr>
        <w:t>“</w:t>
      </w:r>
      <w:r>
        <w:rPr>
          <w:sz w:val="20"/>
        </w:rPr>
        <w:t>obbligazioni fondamentali</w:t>
      </w:r>
      <w:r>
        <w:rPr>
          <w:sz w:val="20"/>
          <w:cs/>
        </w:rPr>
        <w:t>”</w:t>
      </w:r>
      <w:r>
        <w:rPr>
          <w:sz w:val="20"/>
        </w:rPr>
        <w:t>). In altri casi di colpa lieve Microsoft non sarà responsabile di tale colpa.</w:t>
      </w:r>
    </w:p>
    <w:p w:rsidR="005E7217" w:rsidRPr="00C52CA4" w:rsidRDefault="007F6479" w:rsidP="00C52CA4">
      <w:pPr>
        <w:pStyle w:val="Default"/>
        <w:numPr>
          <w:ilvl w:val="0"/>
          <w:numId w:val="25"/>
        </w:numPr>
        <w:tabs>
          <w:tab w:val="left" w:pos="360"/>
        </w:tabs>
        <w:spacing w:before="120" w:after="120"/>
        <w:ind w:left="360"/>
        <w:rPr>
          <w:sz w:val="20"/>
          <w:szCs w:val="20"/>
        </w:rPr>
      </w:pPr>
      <w:r>
        <w:rPr>
          <w:b/>
          <w:sz w:val="20"/>
        </w:rPr>
        <w:t>LIMITAZIONE DI RESPONSABILITÀ ED ESCLUSIONE DI DANNI. IL LICENZIATARIO POTRÀ RICHIEDERE A MICROSOFT E AI SUOI FORNITORI SOLO IL RISARCIMENTO PER I DANNI DIRETTI, CHE NON POTRANNO COMUNQUE ECCEDERE IL MAGGIOR IMPORTO TRA QUELLO PAGATO DAL LICENZIATARIO PER IL SOFTWARE E LA SOMMA DI CINQUE DOLLARI (USD 5). IL LICENZIATARIO NON POTRÀ RICHIEDERE IL RISARCIMENTO PER EVENTUALI ALTRI DANNI, INCLUSI I DANNI CONSEQUENZIALI, SPECIALI, INDIRETTI O INCIDENTALI O RELATIVI ALLA PERDITA DI PROFITTI.</w:t>
      </w:r>
    </w:p>
    <w:p w:rsidR="005E7217" w:rsidRPr="00C52CA4" w:rsidRDefault="007F6479" w:rsidP="00C52CA4">
      <w:pPr>
        <w:pStyle w:val="Heading1"/>
        <w:spacing w:before="120" w:after="120"/>
        <w:ind w:left="360" w:hanging="3"/>
        <w:rPr>
          <w:sz w:val="20"/>
          <w:szCs w:val="20"/>
        </w:rPr>
      </w:pPr>
      <w:r>
        <w:rPr>
          <w:sz w:val="20"/>
        </w:rPr>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rsidR="005E7217" w:rsidRPr="00C52CA4" w:rsidRDefault="007F6479" w:rsidP="00C52CA4">
      <w:pPr>
        <w:pStyle w:val="Heading1"/>
        <w:spacing w:before="120" w:after="120"/>
        <w:ind w:left="360" w:hanging="3"/>
        <w:rPr>
          <w:sz w:val="20"/>
          <w:szCs w:val="20"/>
        </w:rPr>
      </w:pPr>
      <w:r>
        <w:rPr>
          <w:sz w:val="20"/>
        </w:rPr>
        <w:lastRenderedPageBreak/>
        <w:t>Tale limitazione si applica anche nel caso in cui Microsoft era informata o avrebbe dovuto essere informata della possibilità del verificarsi di tali danni. La limitazione o l’esclusione di cui sopra potrebbe non essere applicabile al licenziatario, in quanto l’esclusione o la limitazione di danni incidentali, consequenziali o di altro tipo potrebbe non essere consentita nel Paese di residenza del licenziatario.</w:t>
      </w:r>
    </w:p>
    <w:p w:rsidR="000A129C" w:rsidRPr="00C52CA4" w:rsidRDefault="000A129C" w:rsidP="00C52CA4">
      <w:pPr>
        <w:pStyle w:val="Heading1"/>
        <w:spacing w:before="120" w:after="120"/>
        <w:ind w:left="360" w:hanging="3"/>
        <w:rPr>
          <w:sz w:val="20"/>
          <w:szCs w:val="20"/>
        </w:rPr>
      </w:pPr>
    </w:p>
    <w:p w:rsidR="005E7217" w:rsidRPr="00C52CA4" w:rsidRDefault="007F6479" w:rsidP="00C52CA4">
      <w:pPr>
        <w:pStyle w:val="Heading1"/>
        <w:spacing w:before="120" w:after="120"/>
        <w:ind w:left="360" w:hanging="3"/>
        <w:rPr>
          <w:sz w:val="20"/>
          <w:szCs w:val="20"/>
        </w:rPr>
      </w:pPr>
      <w:r>
        <w:rPr>
          <w:sz w:val="20"/>
        </w:rPr>
        <w:t>EULA ID: Visual Studio per Mac 23 marzo 2018</w:t>
      </w:r>
    </w:p>
    <w:sectPr w:rsidR="005E7217" w:rsidRPr="00C52CA4" w:rsidSect="00C52CA4">
      <w:type w:val="continuous"/>
      <w:pgSz w:w="12240" w:h="15840"/>
      <w:pgMar w:top="1440" w:right="1440" w:bottom="1440" w:left="1440"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02" w:rsidRDefault="00B15702" w:rsidP="00A741F2">
      <w:pPr>
        <w:spacing w:after="0" w:line="240" w:lineRule="auto"/>
      </w:pPr>
      <w:r>
        <w:separator/>
      </w:r>
    </w:p>
  </w:endnote>
  <w:endnote w:type="continuationSeparator" w:id="0">
    <w:p w:rsidR="00B15702" w:rsidRDefault="00B15702" w:rsidP="00A7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02" w:rsidRDefault="00B15702" w:rsidP="00A741F2">
      <w:pPr>
        <w:spacing w:after="0" w:line="240" w:lineRule="auto"/>
      </w:pPr>
      <w:r>
        <w:separator/>
      </w:r>
    </w:p>
  </w:footnote>
  <w:footnote w:type="continuationSeparator" w:id="0">
    <w:p w:rsidR="00B15702" w:rsidRDefault="00B15702" w:rsidP="00A7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2A2"/>
    <w:multiLevelType w:val="hybridMultilevel"/>
    <w:tmpl w:val="FDE27402"/>
    <w:lvl w:ilvl="0" w:tplc="FFFFFFFF">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9C16D95"/>
    <w:multiLevelType w:val="hybridMultilevel"/>
    <w:tmpl w:val="5298092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A225AD2"/>
    <w:multiLevelType w:val="hybridMultilevel"/>
    <w:tmpl w:val="0C686A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A8B1A47"/>
    <w:multiLevelType w:val="hybridMultilevel"/>
    <w:tmpl w:val="AF283072"/>
    <w:lvl w:ilvl="0" w:tplc="FFFFFFFF">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BC36C8"/>
    <w:multiLevelType w:val="hybridMultilevel"/>
    <w:tmpl w:val="A8CE99D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1C00E3"/>
    <w:multiLevelType w:val="hybridMultilevel"/>
    <w:tmpl w:val="6EDE9E3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501484E"/>
    <w:multiLevelType w:val="hybridMultilevel"/>
    <w:tmpl w:val="DC06690C"/>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6C509F4"/>
    <w:multiLevelType w:val="hybridMultilevel"/>
    <w:tmpl w:val="F6AA9E6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96827AD"/>
    <w:multiLevelType w:val="hybridMultilevel"/>
    <w:tmpl w:val="9E52289C"/>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BCB4DC8"/>
    <w:multiLevelType w:val="hybridMultilevel"/>
    <w:tmpl w:val="51ACBAD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2F0F16B7"/>
    <w:multiLevelType w:val="hybridMultilevel"/>
    <w:tmpl w:val="61A21E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753B68"/>
    <w:multiLevelType w:val="hybridMultilevel"/>
    <w:tmpl w:val="8E5E247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DC62199"/>
    <w:multiLevelType w:val="hybridMultilevel"/>
    <w:tmpl w:val="A8E26B26"/>
    <w:lvl w:ilvl="0" w:tplc="FFFFFFFF">
      <w:start w:val="1"/>
      <w:numFmt w:val="lowerRoman"/>
      <w:lvlText w:val="%1."/>
      <w:lvlJc w:val="left"/>
      <w:pPr>
        <w:ind w:left="1440" w:hanging="360"/>
      </w:pPr>
      <w:rPr>
        <w:rFonts w:cs="Times New Roman" w:hint="default"/>
        <w:b/>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4" w15:restartNumberingAfterBreak="0">
    <w:nsid w:val="415C328F"/>
    <w:multiLevelType w:val="hybridMultilevel"/>
    <w:tmpl w:val="8A067540"/>
    <w:lvl w:ilvl="0" w:tplc="FFFFFFFF">
      <w:numFmt w:val="bullet"/>
      <w:lvlText w:val=""/>
      <w:lvlJc w:val="left"/>
      <w:pPr>
        <w:ind w:left="720" w:hanging="360"/>
      </w:pPr>
      <w:rPr>
        <w:rFonts w:ascii="Symbol" w:eastAsia="Times New Roman"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9E5882"/>
    <w:multiLevelType w:val="hybridMultilevel"/>
    <w:tmpl w:val="5C4E7FE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5D5A0C"/>
    <w:multiLevelType w:val="hybridMultilevel"/>
    <w:tmpl w:val="85CECE5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1F449A2"/>
    <w:multiLevelType w:val="hybridMultilevel"/>
    <w:tmpl w:val="2F763E9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7444EB"/>
    <w:multiLevelType w:val="hybridMultilevel"/>
    <w:tmpl w:val="74205C5E"/>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hint="default"/>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7A81638"/>
    <w:multiLevelType w:val="hybridMultilevel"/>
    <w:tmpl w:val="0FF44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B3406D"/>
    <w:multiLevelType w:val="hybridMultilevel"/>
    <w:tmpl w:val="D2B2B0A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D5E29C6"/>
    <w:multiLevelType w:val="hybridMultilevel"/>
    <w:tmpl w:val="8D9407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D706D6A"/>
    <w:multiLevelType w:val="hybridMultilevel"/>
    <w:tmpl w:val="D3AA996A"/>
    <w:lvl w:ilvl="0" w:tplc="FFFFFFFF">
      <w:start w:val="1"/>
      <w:numFmt w:val="bullet"/>
      <w:pStyle w:val="Bullet3"/>
      <w:lvlText w:val=""/>
      <w:lvlJc w:val="left"/>
      <w:pPr>
        <w:tabs>
          <w:tab w:val="num" w:pos="1800"/>
        </w:tabs>
        <w:ind w:left="1797" w:hanging="357"/>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EF54F0"/>
    <w:multiLevelType w:val="hybridMultilevel"/>
    <w:tmpl w:val="85CECE56"/>
    <w:lvl w:ilvl="0" w:tplc="FFFFFFFF">
      <w:start w:val="1"/>
      <w:numFmt w:val="lowerLetter"/>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2"/>
  </w:num>
  <w:num w:numId="2">
    <w:abstractNumId w:val="5"/>
  </w:num>
  <w:num w:numId="3">
    <w:abstractNumId w:val="2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3"/>
  </w:num>
  <w:num w:numId="8">
    <w:abstractNumId w:val="6"/>
  </w:num>
  <w:num w:numId="9">
    <w:abstractNumId w:val="0"/>
  </w:num>
  <w:num w:numId="10">
    <w:abstractNumId w:val="8"/>
  </w:num>
  <w:num w:numId="11">
    <w:abstractNumId w:val="23"/>
  </w:num>
  <w:num w:numId="12">
    <w:abstractNumId w:val="10"/>
  </w:num>
  <w:num w:numId="13">
    <w:abstractNumId w:val="21"/>
  </w:num>
  <w:num w:numId="14">
    <w:abstractNumId w:val="16"/>
  </w:num>
  <w:num w:numId="15">
    <w:abstractNumId w:val="20"/>
  </w:num>
  <w:num w:numId="16">
    <w:abstractNumId w:val="11"/>
  </w:num>
  <w:num w:numId="17">
    <w:abstractNumId w:val="19"/>
  </w:num>
  <w:num w:numId="18">
    <w:abstractNumId w:val="1"/>
  </w:num>
  <w:num w:numId="19">
    <w:abstractNumId w:val="15"/>
  </w:num>
  <w:num w:numId="20">
    <w:abstractNumId w:val="2"/>
  </w:num>
  <w:num w:numId="21">
    <w:abstractNumId w:val="12"/>
  </w:num>
  <w:num w:numId="22">
    <w:abstractNumId w:val="17"/>
  </w:num>
  <w:num w:numId="23">
    <w:abstractNumId w:val="18"/>
  </w:num>
  <w:num w:numId="24">
    <w:abstractNumId w:val="9"/>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__Grammarly_42____i" w:val="H4sIAAAAAAAEAKtWckksSQxILCpxzi/NK1GyMqwFAAEhoTITAAAA"/>
    <w:docVar w:name="__Grammarly_42___1" w:val="H4sIAAAAAAAEAKtWcslP9kxRslIyNDY0szAxNzMwMbY0MjK1NLFU0lEKTi0uzszPAykwrAUApg1uniwAAAA="/>
  </w:docVars>
  <w:rsids>
    <w:rsidRoot w:val="006F4E73"/>
    <w:rsid w:val="000A129C"/>
    <w:rsid w:val="00143E32"/>
    <w:rsid w:val="002D1921"/>
    <w:rsid w:val="0034315C"/>
    <w:rsid w:val="003B27BE"/>
    <w:rsid w:val="00444523"/>
    <w:rsid w:val="00493EDA"/>
    <w:rsid w:val="004F61DA"/>
    <w:rsid w:val="005E7217"/>
    <w:rsid w:val="007F6479"/>
    <w:rsid w:val="008C3D54"/>
    <w:rsid w:val="00A741F2"/>
    <w:rsid w:val="00B15702"/>
    <w:rsid w:val="00C52CA4"/>
    <w:rsid w:val="00C73DAA"/>
    <w:rsid w:val="00D67A09"/>
    <w:rsid w:val="00DC7EE0"/>
    <w:rsid w:val="00EE14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6179233E-4E96-4113-9498-6A5A01B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lang w:val="it-IT" w:eastAsia="it-IT"/>
    </w:rPr>
  </w:style>
  <w:style w:type="paragraph" w:styleId="Heading1">
    <w:name w:val="heading 1"/>
    <w:basedOn w:val="Normal"/>
    <w:next w:val="Default"/>
    <w:link w:val="Heading1Char"/>
    <w:uiPriority w:val="99"/>
    <w:qFormat/>
    <w:pPr>
      <w:widowControl w:val="0"/>
      <w:autoSpaceDE w:val="0"/>
      <w:autoSpaceDN w:val="0"/>
      <w:adjustRightInd w:val="0"/>
      <w:spacing w:after="0" w:line="240" w:lineRule="auto"/>
      <w:outlineLvl w:val="0"/>
    </w:pPr>
    <w:rPr>
      <w:rFonts w:ascii="Tahoma" w:hAnsi="Tahoma" w:cs="Tahoma"/>
      <w:sz w:val="24"/>
      <w:szCs w:val="24"/>
    </w:rPr>
  </w:style>
  <w:style w:type="paragraph" w:styleId="Heading2">
    <w:name w:val="heading 2"/>
    <w:basedOn w:val="Normal"/>
    <w:next w:val="Default"/>
    <w:link w:val="Heading2Char"/>
    <w:uiPriority w:val="99"/>
    <w:qFormat/>
    <w:pPr>
      <w:widowControl w:val="0"/>
      <w:autoSpaceDE w:val="0"/>
      <w:autoSpaceDN w:val="0"/>
      <w:adjustRightInd w:val="0"/>
      <w:spacing w:after="0" w:line="240" w:lineRule="auto"/>
      <w:outlineLvl w:val="1"/>
    </w:pPr>
    <w:rPr>
      <w:rFonts w:ascii="Tahoma" w:hAnsi="Tahoma" w:cs="Tahoma"/>
      <w:sz w:val="24"/>
      <w:szCs w:val="24"/>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lang w:val="it-IT" w:eastAsia="it-IT"/>
    </w:rPr>
  </w:style>
  <w:style w:type="character" w:customStyle="1" w:styleId="Heading2Char">
    <w:name w:val="Heading 2 Char"/>
    <w:basedOn w:val="DefaultParagraphFont"/>
    <w:link w:val="Heading2"/>
    <w:uiPriority w:val="9"/>
    <w:semiHidden/>
    <w:locked/>
    <w:rPr>
      <w:rFonts w:ascii="Calibri Light" w:hAnsi="Calibri Light" w:cs="Times New Roman"/>
      <w:b/>
      <w:i/>
      <w:sz w:val="28"/>
      <w:lang w:val="it-IT" w:eastAsia="it-IT"/>
    </w:rPr>
  </w:style>
  <w:style w:type="character" w:customStyle="1" w:styleId="Heading3Char">
    <w:name w:val="Heading 3 Char"/>
    <w:basedOn w:val="DefaultParagraphFont"/>
    <w:link w:val="Heading3"/>
    <w:uiPriority w:val="99"/>
    <w:locked/>
    <w:rPr>
      <w:rFonts w:ascii="Calibri Light" w:hAnsi="Calibri Light" w:cs="Times New Roman"/>
      <w:b/>
      <w:sz w:val="26"/>
      <w:lang w:val="it-IT" w:eastAsia="it-IT"/>
    </w:rPr>
  </w:style>
  <w:style w:type="paragraph" w:customStyle="1" w:styleId="Default">
    <w:name w:val="Default"/>
    <w:pPr>
      <w:widowControl w:val="0"/>
      <w:autoSpaceDE w:val="0"/>
      <w:autoSpaceDN w:val="0"/>
      <w:adjustRightInd w:val="0"/>
    </w:pPr>
    <w:rPr>
      <w:rFonts w:ascii="Tahoma" w:hAnsi="Tahoma" w:cs="Tahoma"/>
      <w:sz w:val="24"/>
      <w:szCs w:val="24"/>
      <w:lang w:val="it-IT" w:eastAsia="it-IT"/>
    </w:rPr>
  </w:style>
  <w:style w:type="character" w:customStyle="1" w:styleId="InternetLink">
    <w:name w:val="Internet Link"/>
    <w:uiPriority w:val="99"/>
    <w:rPr>
      <w:color w:val="000080"/>
      <w:u w:val="single"/>
      <w:lang w:val="it-IT" w:eastAsia="it-IT"/>
    </w:rPr>
  </w:style>
  <w:style w:type="paragraph" w:customStyle="1" w:styleId="Heading">
    <w:name w:val="Heading"/>
    <w:basedOn w:val="Default"/>
    <w:next w:val="Textbody"/>
    <w:uiPriority w:val="99"/>
    <w:pPr>
      <w:keepNext/>
      <w:spacing w:before="240" w:after="120"/>
    </w:pPr>
    <w:rPr>
      <w:rFonts w:ascii="Arial" w:hAnsi="Arial"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character" w:styleId="CommentReference">
    <w:name w:val="annotation reference"/>
    <w:basedOn w:val="DefaultParagraphFont"/>
    <w:uiPriority w:val="99"/>
    <w:semiHidden/>
    <w:unhideWhenUsed/>
    <w:rPr>
      <w:rFonts w:cs="Times New Roman"/>
      <w:sz w:val="16"/>
      <w:lang w:val="it-IT" w:eastAsia="it-I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sz w:val="20"/>
      <w:lang w:val="it-IT" w:eastAsia="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sz w:val="20"/>
      <w:lang w:val="it-IT" w:eastAsia="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Times New Roman"/>
      <w:sz w:val="18"/>
      <w:lang w:val="it-IT" w:eastAsia="it-IT"/>
    </w:rPr>
  </w:style>
  <w:style w:type="character" w:styleId="Hyperlink">
    <w:name w:val="Hyperlink"/>
    <w:aliases w:val="Char Char7"/>
    <w:basedOn w:val="DefaultParagraphFont"/>
    <w:uiPriority w:val="99"/>
    <w:rPr>
      <w:rFonts w:cs="Times New Roman"/>
      <w:color w:val="0000FF"/>
      <w:u w:val="single"/>
      <w:lang w:val="it-IT" w:eastAsia="it-IT"/>
    </w:rPr>
  </w:style>
  <w:style w:type="character" w:customStyle="1" w:styleId="Bullet3Char1">
    <w:name w:val="Bullet 3 Char1"/>
    <w:link w:val="Bullet3"/>
    <w:locked/>
    <w:rPr>
      <w:rFonts w:ascii="Tahoma" w:hAnsi="Tahoma"/>
      <w:sz w:val="19"/>
      <w:lang w:val="it-IT" w:eastAsia="it-IT"/>
    </w:rPr>
  </w:style>
  <w:style w:type="paragraph" w:customStyle="1" w:styleId="Bullet3">
    <w:name w:val="Bullet 3"/>
    <w:basedOn w:val="Normal"/>
    <w:link w:val="Bullet3Char1"/>
    <w:pPr>
      <w:numPr>
        <w:numId w:val="1"/>
      </w:numPr>
      <w:spacing w:before="120" w:after="120" w:line="240" w:lineRule="auto"/>
    </w:pPr>
    <w:rPr>
      <w:rFonts w:ascii="Tahoma" w:hAnsi="Tahoma" w:cs="Tahoma"/>
      <w:sz w:val="19"/>
      <w:szCs w:val="19"/>
    </w:rPr>
  </w:style>
  <w:style w:type="paragraph" w:customStyle="1" w:styleId="Heading1Warranty">
    <w:name w:val="Heading 1 Warranty"/>
    <w:basedOn w:val="Normal"/>
    <w:next w:val="Normal"/>
    <w:link w:val="Heading1WarrantyCharChar"/>
    <w:uiPriority w:val="99"/>
    <w:pPr>
      <w:numPr>
        <w:numId w:val="2"/>
      </w:numPr>
      <w:spacing w:before="120" w:after="120" w:line="240" w:lineRule="auto"/>
      <w:outlineLvl w:val="0"/>
    </w:pPr>
    <w:rPr>
      <w:rFonts w:ascii="Tahoma" w:eastAsia="MS Mincho" w:hAnsi="Tahoma" w:cs="Tahoma"/>
      <w:sz w:val="19"/>
      <w:szCs w:val="19"/>
    </w:rPr>
  </w:style>
  <w:style w:type="paragraph" w:customStyle="1" w:styleId="Heading2Warranty">
    <w:name w:val="Heading 2 Warranty"/>
    <w:basedOn w:val="Normal"/>
    <w:next w:val="Normal"/>
    <w:uiPriority w:val="99"/>
    <w:pPr>
      <w:numPr>
        <w:ilvl w:val="1"/>
        <w:numId w:val="2"/>
      </w:numPr>
      <w:spacing w:before="120" w:after="120" w:line="240" w:lineRule="auto"/>
      <w:outlineLvl w:val="1"/>
    </w:pPr>
    <w:rPr>
      <w:rFonts w:ascii="Tahoma" w:eastAsia="MS Mincho" w:hAnsi="Tahoma" w:cs="Tahoma"/>
      <w:sz w:val="19"/>
      <w:szCs w:val="19"/>
    </w:rPr>
  </w:style>
  <w:style w:type="character" w:styleId="Mention">
    <w:name w:val="Mention"/>
    <w:basedOn w:val="DefaultParagraphFont"/>
    <w:uiPriority w:val="99"/>
    <w:semiHidden/>
    <w:unhideWhenUsed/>
    <w:rPr>
      <w:color w:val="2B579A"/>
      <w:shd w:val="clear" w:color="000000" w:fill="auto"/>
      <w:lang w:val="it-IT" w:eastAsia="it-IT"/>
    </w:rPr>
  </w:style>
  <w:style w:type="character" w:customStyle="1" w:styleId="Body1Char1">
    <w:name w:val="Body 1 Char1"/>
    <w:link w:val="Body1"/>
    <w:uiPriority w:val="99"/>
    <w:locked/>
    <w:rPr>
      <w:rFonts w:ascii="Tahoma" w:hAnsi="Tahoma"/>
      <w:sz w:val="19"/>
      <w:lang w:val="it-IT" w:eastAsia="it-IT"/>
    </w:rPr>
  </w:style>
  <w:style w:type="paragraph" w:customStyle="1" w:styleId="Body1">
    <w:name w:val="Body 1"/>
    <w:basedOn w:val="Normal"/>
    <w:link w:val="Body1Char1"/>
    <w:uiPriority w:val="99"/>
    <w:pPr>
      <w:spacing w:before="120" w:after="120" w:line="240" w:lineRule="auto"/>
      <w:ind w:left="357"/>
    </w:pPr>
    <w:rPr>
      <w:rFonts w:ascii="Tahoma" w:hAnsi="Tahoma" w:cs="Tahoma"/>
      <w:sz w:val="19"/>
      <w:szCs w:val="19"/>
    </w:rPr>
  </w:style>
  <w:style w:type="paragraph" w:customStyle="1" w:styleId="HeadingWarranty">
    <w:name w:val="Heading Warranty"/>
    <w:basedOn w:val="Normal"/>
    <w:uiPriority w:val="99"/>
    <w:pPr>
      <w:spacing w:before="120" w:after="120" w:line="240" w:lineRule="auto"/>
      <w:jc w:val="center"/>
    </w:pPr>
    <w:rPr>
      <w:rFonts w:ascii="Tahoma" w:eastAsia="MS Mincho" w:hAnsi="Tahoma" w:cs="Tahoma"/>
      <w:b/>
      <w:bCs/>
      <w:sz w:val="19"/>
      <w:szCs w:val="19"/>
    </w:rPr>
  </w:style>
  <w:style w:type="character" w:customStyle="1" w:styleId="Heading1WarrantyCharChar">
    <w:name w:val="Heading 1 Warranty Char Char"/>
    <w:link w:val="Heading1Warranty"/>
    <w:uiPriority w:val="99"/>
    <w:locked/>
    <w:rPr>
      <w:rFonts w:ascii="Tahoma" w:eastAsia="MS Mincho" w:hAnsi="Tahoma"/>
      <w:sz w:val="19"/>
      <w:lang w:val="it-IT" w:eastAsia="it-IT"/>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fo/nareturns.htm" TargetMode="External"/><Relationship Id="rId13" Type="http://schemas.openxmlformats.org/officeDocument/2006/relationships/hyperlink" Target="http://aka.ms/msoffices" TargetMode="External"/><Relationship Id="rId3" Type="http://schemas.openxmlformats.org/officeDocument/2006/relationships/settings" Target="settings.xml"/><Relationship Id="rId7" Type="http://schemas.openxmlformats.org/officeDocument/2006/relationships/hyperlink" Target="http://www.microsoft.com/worldwide" TargetMode="External"/><Relationship Id="rId12" Type="http://schemas.openxmlformats.org/officeDocument/2006/relationships/hyperlink" Target="http://aka.ms/msoff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macctg@microsoft.com" TargetMode="External"/><Relationship Id="rId5" Type="http://schemas.openxmlformats.org/officeDocument/2006/relationships/footnotes" Target="footnotes.xml"/><Relationship Id="rId15" Type="http://schemas.openxmlformats.org/officeDocument/2006/relationships/hyperlink" Target="http://www.microsoft.com/exporting" TargetMode="External"/><Relationship Id="rId10" Type="http://schemas.openxmlformats.org/officeDocument/2006/relationships/hyperlink" Target="http://aka.ms/nareturns" TargetMode="External"/><Relationship Id="rId4" Type="http://schemas.openxmlformats.org/officeDocument/2006/relationships/webSettings" Target="webSettings.xml"/><Relationship Id="rId9" Type="http://schemas.openxmlformats.org/officeDocument/2006/relationships/hyperlink" Target="https://support.microsoft.com" TargetMode="External"/><Relationship Id="rId14" Type="http://schemas.openxmlformats.org/officeDocument/2006/relationships/hyperlink" Target="https://go.microsoft.com/fwlink/?linkid=82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dc:creator>
  <cp:keywords/>
  <dc:description/>
  <cp:lastModifiedBy>Morgan Robinson (Aditi Technologies Private LTD)</cp:lastModifiedBy>
  <cp:revision>2</cp:revision>
  <dcterms:created xsi:type="dcterms:W3CDTF">2018-04-24T20:40:00Z</dcterms:created>
  <dcterms:modified xsi:type="dcterms:W3CDTF">2018-04-24T20:40:00Z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dapont@microsoft.com</vt:lpwstr>
  </property>
  <property fmtid="{D5CDD505-2E9C-101B-9397-08002B2CF9AE}" pid="5" name="MSIP_Label_f42aa342-8706-4288-bd11-ebb85995028c_SetDate">
    <vt:lpwstr>2018-03-15T23:27:07.3356330Z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