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17" w:rsidRPr="00C52CA4" w:rsidRDefault="00523FB6" w:rsidP="00C52CA4">
      <w:pPr>
        <w:pStyle w:val="Default"/>
        <w:spacing w:before="120" w:after="120"/>
        <w:rPr>
          <w:sz w:val="20"/>
          <w:szCs w:val="20"/>
        </w:rPr>
      </w:pPr>
      <w:bookmarkStart w:id="0" w:name="_GoBack"/>
      <w:bookmarkEnd w:id="0"/>
      <w:r>
        <w:rPr>
          <w:b/>
          <w:sz w:val="20"/>
        </w:rPr>
        <w:t>POSTANOWIENIA LICENCYJNE DOTYCZĄCE OPROGRAMOWANIA</w:t>
      </w:r>
    </w:p>
    <w:p w:rsidR="00444523" w:rsidRPr="00C52CA4" w:rsidRDefault="00523FB6" w:rsidP="00C52CA4">
      <w:pPr>
        <w:pStyle w:val="Default"/>
        <w:pBdr>
          <w:bottom w:val="single" w:sz="2" w:space="1" w:color="000000"/>
        </w:pBdr>
        <w:spacing w:before="120" w:after="120"/>
        <w:rPr>
          <w:sz w:val="20"/>
          <w:szCs w:val="20"/>
        </w:rPr>
      </w:pPr>
      <w:r>
        <w:rPr>
          <w:b/>
          <w:sz w:val="20"/>
        </w:rPr>
        <w:t xml:space="preserve">MICROSOFT VISUAL STUDIO COMMUNITY 2017 DLA KOMPUTERÓW MAC, VISUAL STUDIO PROFESSIONAL 2017 DLA KOMPUTERÓW MAC I VISUAL STUDIO ENTERPRISE 2017 DLA KOMPUTERÓW MAC </w:t>
      </w:r>
    </w:p>
    <w:p w:rsidR="005E7217" w:rsidRPr="00C52CA4" w:rsidRDefault="00523FB6" w:rsidP="00C52CA4">
      <w:pPr>
        <w:pStyle w:val="Default"/>
        <w:spacing w:before="120" w:after="120"/>
        <w:rPr>
          <w:sz w:val="20"/>
          <w:szCs w:val="20"/>
        </w:rPr>
      </w:pPr>
      <w:r>
        <w:rPr>
          <w:sz w:val="20"/>
        </w:rPr>
        <w:t>Niniejsze postanowienia licencyjne stanowią umowę między Licencjobiorcą a Microsoft Corporation (albo, w zależności od miejsca zamieszkania Licencjobiorcy, jednym z podmiotów stowarzyszonych Microsoft Corporation). Mają one zastosowanie do wskazanego powyżej oprogramowania. Niniejsze postanowienia mają również zastosowanie do wszelkich usług i aktualizacji Microsoft dla niniejszego oprogramowania, z wyjątkiem tych, którym towarzyszą inne postanowienia.</w:t>
      </w:r>
    </w:p>
    <w:p w:rsidR="005E7217" w:rsidRPr="00C52CA4" w:rsidRDefault="00523FB6" w:rsidP="00C52CA4">
      <w:pPr>
        <w:pStyle w:val="Default"/>
        <w:spacing w:before="120" w:after="120"/>
        <w:rPr>
          <w:b/>
          <w:sz w:val="20"/>
          <w:szCs w:val="20"/>
        </w:rPr>
      </w:pPr>
      <w:r>
        <w:rPr>
          <w:b/>
          <w:sz w:val="20"/>
        </w:rPr>
        <w:t>KORZYSTANIE PRZEZ LICENCJOBIORCĘ Z OPROGRAMOWANIA OZNACZA, ŻE AKCEPTUJE ON NINIEJSZE POSTANOWIENIA. JEŚLI LICENCJOBIORCA ICH NIE AKCEPTUJE, NIE MOŻE KORZYSTAĆ Z OPROGRAMOWANIA. W TAKIM PRZYPADKU LICENCJOBIORCA POWINIEN JE ZWRÓCIĆ SPRZEDAWCY, ABY UZYSKAĆ ZWROT PIENIĘDZY LUB RABAT. </w:t>
      </w:r>
      <w:r>
        <w:rPr>
          <w:sz w:val="20"/>
        </w:rPr>
        <w:t>Jeśli nie mogą Państwo uzyskać od sprzedawcy zwrotu zapłaconej kwoty, prosimy skontaktować się z firmą Microsoft lub podmiotem stowarzyszonym firmy Microsoft właściwym ze względu na miejsce Państwa zamieszkania lub siedzibę, aby uzyskać informacje na temat zasad firmy Microsoft dotyczących zwrotu zapłaconej kwoty. Proszę odwiedzić stronę </w:t>
      </w:r>
      <w:hyperlink r:id="rId7" w:history="1">
        <w:r>
          <w:rPr>
            <w:rStyle w:val="Hyperlink"/>
            <w:sz w:val="20"/>
          </w:rPr>
          <w:t>www.microsoft.com/worldwide</w:t>
        </w:r>
      </w:hyperlink>
      <w:r>
        <w:rPr>
          <w:sz w:val="20"/>
        </w:rPr>
        <w:t>. W Stanach Zjednoczonych i Kanadzie proszę dzwonić (800) MICROSOFT lub odwiedzić stronę </w:t>
      </w:r>
      <w:hyperlink r:id="rId8" w:history="1">
        <w:r>
          <w:rPr>
            <w:rStyle w:val="Hyperlink"/>
            <w:sz w:val="20"/>
          </w:rPr>
          <w:t>www.microsoft.com/info/nareturns.htm</w:t>
        </w:r>
      </w:hyperlink>
      <w:r>
        <w:rPr>
          <w:sz w:val="20"/>
        </w:rPr>
        <w:t>.</w:t>
      </w:r>
    </w:p>
    <w:p w:rsidR="008C3D54" w:rsidRPr="00C52CA4" w:rsidRDefault="00523FB6" w:rsidP="00C52CA4">
      <w:pPr>
        <w:pStyle w:val="Default"/>
        <w:numPr>
          <w:ilvl w:val="0"/>
          <w:numId w:val="5"/>
        </w:numPr>
        <w:spacing w:before="120" w:after="120"/>
        <w:ind w:left="360"/>
        <w:rPr>
          <w:sz w:val="20"/>
          <w:szCs w:val="20"/>
        </w:rPr>
      </w:pPr>
      <w:r>
        <w:rPr>
          <w:sz w:val="20"/>
        </w:rPr>
        <w:t>W sekcji I opisano prawa Licencjobiorcy do używania oprogramowania Visual Studio Community 2017 dla komputerów Mac.</w:t>
      </w:r>
    </w:p>
    <w:p w:rsidR="008C3D54" w:rsidRPr="00C52CA4" w:rsidRDefault="00523FB6" w:rsidP="00C52CA4">
      <w:pPr>
        <w:pStyle w:val="Default"/>
        <w:numPr>
          <w:ilvl w:val="0"/>
          <w:numId w:val="5"/>
        </w:numPr>
        <w:spacing w:before="120" w:after="120"/>
        <w:ind w:left="360"/>
        <w:rPr>
          <w:sz w:val="20"/>
          <w:szCs w:val="20"/>
        </w:rPr>
      </w:pPr>
      <w:r>
        <w:rPr>
          <w:sz w:val="20"/>
        </w:rPr>
        <w:t>W sekcji II opisano rozszerzone prawa do używania, rękojmie i gwarancje oraz usługi pomocy technicznej przysługujące Licencjobiorcy, który subskrybuje oprogramowanie w wersji Visual Studio Professional 2017 dla komputerów Mac lub Visual Studio Enterprise 2017 dla komputerów Mac.</w:t>
      </w:r>
    </w:p>
    <w:p w:rsidR="008C3D54" w:rsidRPr="00C52CA4" w:rsidRDefault="00523FB6" w:rsidP="00C52CA4">
      <w:pPr>
        <w:pStyle w:val="Default"/>
        <w:numPr>
          <w:ilvl w:val="0"/>
          <w:numId w:val="5"/>
        </w:numPr>
        <w:pBdr>
          <w:bottom w:val="single" w:sz="4" w:space="1" w:color="auto"/>
        </w:pBdr>
        <w:spacing w:before="120" w:after="120"/>
        <w:ind w:left="360"/>
        <w:rPr>
          <w:sz w:val="20"/>
          <w:szCs w:val="20"/>
        </w:rPr>
      </w:pPr>
      <w:r>
        <w:rPr>
          <w:sz w:val="20"/>
        </w:rPr>
        <w:t>Sekcja III zawiera ogólne postanowienia mające zastosowanie do wszystkich wersji oprogramowania.</w:t>
      </w:r>
    </w:p>
    <w:p w:rsidR="005E7217" w:rsidRPr="00C52CA4" w:rsidRDefault="00523FB6" w:rsidP="00C52CA4">
      <w:pPr>
        <w:pStyle w:val="Default"/>
        <w:spacing w:before="120" w:after="120"/>
        <w:rPr>
          <w:sz w:val="20"/>
          <w:szCs w:val="20"/>
        </w:rPr>
      </w:pPr>
      <w:r>
        <w:rPr>
          <w:b/>
          <w:sz w:val="20"/>
        </w:rPr>
        <w:t xml:space="preserve">SEKCJA I: VISUAL STUDIO COMMUNITY 2017 DLA KOMPUTERÓW MAC. </w:t>
      </w:r>
      <w:r>
        <w:rPr>
          <w:sz w:val="20"/>
        </w:rPr>
        <w:t>W tej sekcji opisano prawa Licencjobiorcy do oprogramowania w wersji Community.</w:t>
      </w:r>
    </w:p>
    <w:p w:rsidR="005E7217" w:rsidRPr="00C52CA4" w:rsidRDefault="00523FB6" w:rsidP="00C52CA4">
      <w:pPr>
        <w:pStyle w:val="Default"/>
        <w:numPr>
          <w:ilvl w:val="0"/>
          <w:numId w:val="23"/>
        </w:numPr>
        <w:tabs>
          <w:tab w:val="left" w:pos="360"/>
          <w:tab w:val="left" w:pos="5940"/>
        </w:tabs>
        <w:spacing w:before="120" w:after="120"/>
        <w:ind w:left="360"/>
        <w:rPr>
          <w:sz w:val="20"/>
          <w:szCs w:val="20"/>
        </w:rPr>
      </w:pPr>
      <w:r>
        <w:rPr>
          <w:b/>
          <w:sz w:val="20"/>
        </w:rPr>
        <w:t xml:space="preserve">PRAWA DO UŻYWANIA OPROGRAMOWANIA VISUAL STUDIO COMMUNITY 2017 DLA KOMPUTERÓW MAC. </w:t>
      </w:r>
    </w:p>
    <w:p w:rsidR="005E7217" w:rsidRPr="00C52CA4" w:rsidRDefault="00523FB6" w:rsidP="00C52CA4">
      <w:pPr>
        <w:pStyle w:val="Default"/>
        <w:numPr>
          <w:ilvl w:val="1"/>
          <w:numId w:val="23"/>
        </w:numPr>
        <w:tabs>
          <w:tab w:val="left" w:pos="720"/>
        </w:tabs>
        <w:spacing w:before="120" w:after="120"/>
        <w:ind w:left="720"/>
        <w:rPr>
          <w:sz w:val="20"/>
          <w:szCs w:val="20"/>
        </w:rPr>
      </w:pPr>
      <w:r>
        <w:rPr>
          <w:b/>
          <w:sz w:val="20"/>
        </w:rPr>
        <w:t xml:space="preserve">Licencja indywidualna. </w:t>
      </w:r>
      <w:r>
        <w:rPr>
          <w:sz w:val="20"/>
        </w:rPr>
        <w:t>Jeśli Licencjobiorca jest osobą prywatną tworzącą własne aplikacje na sprzedaż lub do innych celów, taki Licencjobiorca może korzystać z oprogramowania do tworzenia i testowania takich aplikacji.</w:t>
      </w:r>
    </w:p>
    <w:p w:rsidR="005E7217" w:rsidRPr="00C52CA4" w:rsidRDefault="00523FB6" w:rsidP="00C52CA4">
      <w:pPr>
        <w:pStyle w:val="Default"/>
        <w:numPr>
          <w:ilvl w:val="1"/>
          <w:numId w:val="23"/>
        </w:numPr>
        <w:tabs>
          <w:tab w:val="left" w:pos="720"/>
        </w:tabs>
        <w:spacing w:before="120" w:after="120"/>
        <w:ind w:left="720"/>
        <w:rPr>
          <w:sz w:val="20"/>
          <w:szCs w:val="20"/>
        </w:rPr>
      </w:pPr>
      <w:r>
        <w:rPr>
          <w:b/>
          <w:sz w:val="20"/>
        </w:rPr>
        <w:t xml:space="preserve">Licencje organizacyjne. </w:t>
      </w:r>
      <w:r>
        <w:rPr>
          <w:sz w:val="20"/>
        </w:rPr>
        <w:t>Jeśli Licencjobiorcą jest organizacja, użytkownicy wskazani przez Licencjobiorcę mogą używać oprogramowania zgodnie z poniższym opisem:</w:t>
      </w:r>
    </w:p>
    <w:p w:rsidR="005E7217" w:rsidRPr="00C52CA4" w:rsidRDefault="00523FB6" w:rsidP="00C52CA4">
      <w:pPr>
        <w:pStyle w:val="Default"/>
        <w:numPr>
          <w:ilvl w:val="1"/>
          <w:numId w:val="5"/>
        </w:numPr>
        <w:spacing w:before="120" w:after="120"/>
        <w:rPr>
          <w:sz w:val="20"/>
          <w:szCs w:val="20"/>
        </w:rPr>
      </w:pPr>
      <w:r>
        <w:rPr>
          <w:sz w:val="20"/>
        </w:rPr>
        <w:t>Dowolna liczba użytkowników wskazanych przez Licencjobiorcę może wykorzystywać oprogramowanie do projektowania i testowania aplikacji wydawanych w ramach licencji na oprogramowanie open source zatwierdzonych przez organizację Open Source Initiative (OSI).</w:t>
      </w:r>
    </w:p>
    <w:p w:rsidR="005E7217" w:rsidRPr="00C52CA4" w:rsidRDefault="00523FB6" w:rsidP="00C52CA4">
      <w:pPr>
        <w:pStyle w:val="Default"/>
        <w:numPr>
          <w:ilvl w:val="1"/>
          <w:numId w:val="5"/>
        </w:numPr>
        <w:spacing w:before="120" w:after="120"/>
        <w:rPr>
          <w:sz w:val="20"/>
          <w:szCs w:val="20"/>
        </w:rPr>
      </w:pPr>
      <w:r>
        <w:rPr>
          <w:sz w:val="20"/>
        </w:rPr>
        <w:t xml:space="preserve">Dowolna liczba użytkowników wskazanych przez Licencjobiorcę może używać oprogramowania do projektowania i testowania rozszerzeń programu Visual Studio. </w:t>
      </w:r>
    </w:p>
    <w:p w:rsidR="005E7217" w:rsidRPr="00C52CA4" w:rsidRDefault="00523FB6" w:rsidP="00C52CA4">
      <w:pPr>
        <w:pStyle w:val="Default"/>
        <w:numPr>
          <w:ilvl w:val="1"/>
          <w:numId w:val="5"/>
        </w:numPr>
        <w:spacing w:before="120" w:after="120"/>
        <w:rPr>
          <w:sz w:val="20"/>
          <w:szCs w:val="20"/>
        </w:rPr>
      </w:pPr>
      <w:r>
        <w:rPr>
          <w:sz w:val="20"/>
        </w:rPr>
        <w:t xml:space="preserve">Dowolna liczba użytkowników wskazanych przez Licencjobiorcę może używać </w:t>
      </w:r>
      <w:r>
        <w:rPr>
          <w:sz w:val="20"/>
        </w:rPr>
        <w:lastRenderedPageBreak/>
        <w:t>oprogramowania do projektowania i testowania aplikacji Licencjobiorcy w ramach szkolenia oraz kształcenia w trybie online lub stacjonarnym, a także w celu prowadzenia badań akademickich.</w:t>
      </w:r>
    </w:p>
    <w:p w:rsidR="005E7217" w:rsidRPr="00C52CA4" w:rsidRDefault="00523FB6" w:rsidP="00C52CA4">
      <w:pPr>
        <w:pStyle w:val="Default"/>
        <w:numPr>
          <w:ilvl w:val="1"/>
          <w:numId w:val="5"/>
        </w:numPr>
        <w:spacing w:before="120" w:after="120"/>
        <w:rPr>
          <w:sz w:val="20"/>
          <w:szCs w:val="20"/>
        </w:rPr>
      </w:pPr>
      <w:r>
        <w:rPr>
          <w:sz w:val="20"/>
        </w:rPr>
        <w:t>Jeśli żadna z powyżej opisanych sytuacji nie dotyczy danego Licencjobiorcy, który nie jest przedsiębiorstwem (określonym w definicji poniżej), wtedy Licencjobiorca może wskazać maksymalnie 5 użytkowników do jednoczesnego używania oprogramowania do projektowania i testowania aplikacji Licencjobiorcy.</w:t>
      </w:r>
    </w:p>
    <w:p w:rsidR="005E7217" w:rsidRPr="00C52CA4" w:rsidRDefault="00523FB6" w:rsidP="00C52CA4">
      <w:pPr>
        <w:pStyle w:val="Default"/>
        <w:numPr>
          <w:ilvl w:val="1"/>
          <w:numId w:val="5"/>
        </w:numPr>
        <w:spacing w:before="120" w:after="120"/>
        <w:rPr>
          <w:sz w:val="20"/>
          <w:szCs w:val="20"/>
        </w:rPr>
      </w:pPr>
      <w:r>
        <w:rPr>
          <w:sz w:val="20"/>
        </w:rPr>
        <w:t xml:space="preserve">Jeśli Licencjobiorcą jest przedsiębiorstwo, jego współpracownicy i kontrahenci </w:t>
      </w:r>
      <w:r>
        <w:rPr>
          <w:sz w:val="20"/>
          <w:u w:val="single"/>
        </w:rPr>
        <w:t>nie</w:t>
      </w:r>
      <w:r>
        <w:rPr>
          <w:sz w:val="20"/>
        </w:rPr>
        <w:t xml:space="preserve"> mogą używać oprogramowania do projektowania i testowania aplikacji z wyjątkiem oprogramowania open source, rozszerzeń programu Visual Studio oraz w celach edukacyjnych określonych powyżej. Termin </w:t>
      </w:r>
      <w:r>
        <w:rPr>
          <w:sz w:val="20"/>
          <w:cs/>
        </w:rPr>
        <w:t>„</w:t>
      </w:r>
      <w:r>
        <w:rPr>
          <w:sz w:val="20"/>
        </w:rPr>
        <w:t>przedsiębiorstwo</w:t>
      </w:r>
      <w:r>
        <w:rPr>
          <w:sz w:val="20"/>
          <w:cs/>
        </w:rPr>
        <w:t xml:space="preserve">” </w:t>
      </w:r>
      <w:r>
        <w:rPr>
          <w:sz w:val="20"/>
        </w:rPr>
        <w:t xml:space="preserve">oznacza dowolną organizację wraz z podmiotami stowarzyszonymi, która łącznie (i) posiada ponad 250 komputerów osobistych lub użytkowników lub (ii) uzyskuje ponad jeden milion dolarów amerykańskich (lub odpowiednik tej kwoty w walucie lokalnej) przychodów rocznych, natomiast termin </w:t>
      </w:r>
      <w:r>
        <w:rPr>
          <w:sz w:val="20"/>
          <w:cs/>
        </w:rPr>
        <w:t>„</w:t>
      </w:r>
      <w:r>
        <w:rPr>
          <w:sz w:val="20"/>
        </w:rPr>
        <w:t>podmioty stowarzyszone</w:t>
      </w:r>
      <w:r>
        <w:rPr>
          <w:sz w:val="20"/>
          <w:cs/>
        </w:rPr>
        <w:t xml:space="preserve">” </w:t>
      </w:r>
      <w:r>
        <w:rPr>
          <w:sz w:val="20"/>
        </w:rPr>
        <w:t>oznacza te podmioty, które sprawują kontrolę (poprzez udział większościowy) nad organizacją, znajdują się pod kontrolą organizacji lub znajdują się pod wspólną kontrolą z organizacją.</w:t>
      </w:r>
    </w:p>
    <w:p w:rsidR="005E7217" w:rsidRPr="00C52CA4" w:rsidRDefault="00523FB6" w:rsidP="00C52CA4">
      <w:pPr>
        <w:pStyle w:val="Default"/>
        <w:numPr>
          <w:ilvl w:val="1"/>
          <w:numId w:val="23"/>
        </w:numPr>
        <w:tabs>
          <w:tab w:val="left" w:pos="720"/>
        </w:tabs>
        <w:spacing w:before="120" w:after="120"/>
        <w:ind w:left="720"/>
        <w:rPr>
          <w:sz w:val="20"/>
          <w:szCs w:val="20"/>
        </w:rPr>
      </w:pPr>
      <w:r>
        <w:rPr>
          <w:b/>
          <w:sz w:val="20"/>
        </w:rPr>
        <w:t>Używanie do celów demonstracyjnych.</w:t>
      </w:r>
      <w:r>
        <w:rPr>
          <w:sz w:val="20"/>
        </w:rPr>
        <w:t xml:space="preserve"> Dozwolone powyżej sposoby używania obejmują używanie oprogramowania w celu demonstracji aplikacji użytkownika.</w:t>
      </w:r>
    </w:p>
    <w:p w:rsidR="005E7217" w:rsidRPr="00C52CA4" w:rsidRDefault="00523FB6" w:rsidP="00C52CA4">
      <w:pPr>
        <w:pStyle w:val="Default"/>
        <w:numPr>
          <w:ilvl w:val="0"/>
          <w:numId w:val="23"/>
        </w:numPr>
        <w:tabs>
          <w:tab w:val="left" w:pos="360"/>
        </w:tabs>
        <w:spacing w:before="120" w:after="120"/>
        <w:ind w:left="360"/>
        <w:rPr>
          <w:sz w:val="20"/>
          <w:szCs w:val="20"/>
        </w:rPr>
      </w:pPr>
      <w:r>
        <w:rPr>
          <w:b/>
          <w:sz w:val="20"/>
        </w:rPr>
        <w:t xml:space="preserve">Usługi pomocy technicznej. </w:t>
      </w:r>
      <w:r>
        <w:rPr>
          <w:sz w:val="20"/>
        </w:rPr>
        <w:t xml:space="preserve">Oprogramowanie Visual Studio Community 2017 dla komputerów Mac jest licencjonowane </w:t>
      </w:r>
      <w:r>
        <w:rPr>
          <w:sz w:val="20"/>
          <w:cs/>
        </w:rPr>
        <w:t>„</w:t>
      </w:r>
      <w:r>
        <w:rPr>
          <w:sz w:val="20"/>
        </w:rPr>
        <w:t>w stanie takim, w jakim jest</w:t>
      </w:r>
      <w:r>
        <w:rPr>
          <w:sz w:val="20"/>
          <w:cs/>
        </w:rPr>
        <w:t>”</w:t>
      </w:r>
      <w:r>
        <w:rPr>
          <w:sz w:val="20"/>
        </w:rPr>
        <w:t>, Microsoft może zatem nie obejmować go usługami pomocy technicznej.</w:t>
      </w:r>
    </w:p>
    <w:p w:rsidR="005E7217" w:rsidRDefault="00523FB6" w:rsidP="00C52CA4">
      <w:pPr>
        <w:pStyle w:val="Default"/>
        <w:numPr>
          <w:ilvl w:val="0"/>
          <w:numId w:val="23"/>
        </w:numPr>
        <w:tabs>
          <w:tab w:val="left" w:pos="360"/>
        </w:tabs>
        <w:spacing w:before="120" w:after="120"/>
        <w:ind w:left="360"/>
        <w:rPr>
          <w:b/>
          <w:caps/>
          <w:sz w:val="20"/>
          <w:szCs w:val="20"/>
        </w:rPr>
      </w:pPr>
      <w:r>
        <w:rPr>
          <w:b/>
          <w:sz w:val="20"/>
        </w:rPr>
        <w:t xml:space="preserve">ODRZUCENIE ODPOWIEDZIALNOŚCI Z TYTUŁU RĘKOJMI I GWARANCJI. </w:t>
      </w:r>
      <w:r>
        <w:rPr>
          <w:b/>
          <w:caps/>
          <w:sz w:val="20"/>
        </w:rPr>
        <w:t xml:space="preserve">VISUAL STUDIO COMMUNITY 2017 DLA KOMPUTERÓW MAC jest licencjonowany </w:t>
      </w:r>
      <w:r>
        <w:rPr>
          <w:b/>
          <w:caps/>
          <w:sz w:val="20"/>
          <w:cs/>
        </w:rPr>
        <w:t>„</w:t>
      </w:r>
      <w:r>
        <w:rPr>
          <w:b/>
          <w:caps/>
          <w:sz w:val="20"/>
        </w:rPr>
        <w:t>w formie, w jakiej jest</w:t>
      </w:r>
      <w:r>
        <w:rPr>
          <w:b/>
          <w:caps/>
          <w:sz w:val="20"/>
          <w:cs/>
        </w:rPr>
        <w:t>”</w:t>
      </w:r>
      <w:r>
        <w:rPr>
          <w:b/>
          <w:caps/>
          <w:sz w:val="20"/>
        </w:rPr>
        <w:t>.  To Państwo ponoszą wszelkie ryzyko związane z jej używaniem. MICROSOFT nie udziela żadnych wyraźnych rękojmi, gwarancji ani zapewnień. W zakresie dozwolonym przez przepisy prawa krajowego MICROSOFT niniejszym wyłącza swoją odpowiedzialność z tytułu dorozumianych rękojmi co do wartości handlowej, przydatności do określonego celu oraz braku naruszeń praw własności intelektualnej.</w:t>
      </w:r>
    </w:p>
    <w:p w:rsidR="00C52CA4" w:rsidRPr="00C52CA4" w:rsidRDefault="00C52CA4" w:rsidP="00C52CA4">
      <w:pPr>
        <w:pBdr>
          <w:bottom w:val="single" w:sz="4" w:space="1" w:color="auto"/>
        </w:pBdr>
        <w:spacing w:before="120" w:after="120" w:line="240" w:lineRule="auto"/>
        <w:rPr>
          <w:rFonts w:ascii="Tahoma" w:eastAsia="PMingLiU-ExtB" w:hAnsi="Tahoma" w:cs="Tahoma"/>
          <w:sz w:val="20"/>
          <w:szCs w:val="20"/>
        </w:rPr>
      </w:pPr>
    </w:p>
    <w:p w:rsidR="005E7217" w:rsidRPr="00C52CA4" w:rsidRDefault="00523FB6" w:rsidP="00C52CA4">
      <w:pPr>
        <w:pStyle w:val="Default"/>
        <w:spacing w:before="120" w:after="120"/>
        <w:rPr>
          <w:sz w:val="20"/>
          <w:szCs w:val="20"/>
        </w:rPr>
      </w:pPr>
      <w:r>
        <w:rPr>
          <w:b/>
          <w:sz w:val="20"/>
        </w:rPr>
        <w:t xml:space="preserve">SEKCJA II: VISUAL STUDIO PROFESSIONAL 2017 DLA KOMPUTERÓW MAC I VISUAL STUDIO ENTERPRISE 2017 DLA KOMPUTERÓW MAC. </w:t>
      </w:r>
      <w:r>
        <w:rPr>
          <w:sz w:val="20"/>
        </w:rPr>
        <w:t>W tej sekcji opisano prawa do używania, rękojmie i gwarancje oraz usługi pomocy technicznej przysługujące Licencjobiorcy, który subskrybuje oprogramowanie w wersji Professional lub Enterprise (</w:t>
      </w:r>
      <w:r>
        <w:rPr>
          <w:sz w:val="20"/>
          <w:cs/>
        </w:rPr>
        <w:t>„</w:t>
      </w:r>
      <w:r>
        <w:rPr>
          <w:sz w:val="20"/>
        </w:rPr>
        <w:t>Subskrypcja Visual Studio</w:t>
      </w:r>
      <w:r>
        <w:rPr>
          <w:sz w:val="20"/>
          <w:cs/>
        </w:rPr>
        <w:t>”</w:t>
      </w:r>
      <w:r>
        <w:rPr>
          <w:sz w:val="20"/>
        </w:rPr>
        <w:t xml:space="preserve">). Licencjobiorca nie może udostępniać innym osobom swojego kodu z kuponu Subskrypcji Visual Studio ani swoich poświadczeń dostępu. </w:t>
      </w:r>
    </w:p>
    <w:p w:rsidR="005E7217" w:rsidRPr="00C52CA4" w:rsidRDefault="00523FB6" w:rsidP="00C52CA4">
      <w:pPr>
        <w:pStyle w:val="Default"/>
        <w:numPr>
          <w:ilvl w:val="0"/>
          <w:numId w:val="24"/>
        </w:numPr>
        <w:tabs>
          <w:tab w:val="left" w:pos="360"/>
        </w:tabs>
        <w:spacing w:before="120" w:after="120"/>
        <w:ind w:left="360"/>
        <w:rPr>
          <w:sz w:val="20"/>
          <w:szCs w:val="20"/>
        </w:rPr>
      </w:pPr>
      <w:r>
        <w:rPr>
          <w:b/>
          <w:sz w:val="20"/>
        </w:rPr>
        <w:t>PRAWA DO UŻYWANIA OPROGRAMOWANIA VISUAL STUDIO PROFESSIONAL 2017 DLA KOMPUTERÓW MAC I VISUAL STUDIO ENTERPRISE 2017 DLA KOMPUTERÓW MAC.</w:t>
      </w:r>
    </w:p>
    <w:p w:rsidR="005E7217" w:rsidRPr="00C52CA4" w:rsidRDefault="00523FB6" w:rsidP="00C52CA4">
      <w:pPr>
        <w:pStyle w:val="Default"/>
        <w:numPr>
          <w:ilvl w:val="1"/>
          <w:numId w:val="24"/>
        </w:numPr>
        <w:tabs>
          <w:tab w:val="left" w:pos="720"/>
        </w:tabs>
        <w:spacing w:before="120" w:after="120"/>
        <w:ind w:left="720"/>
        <w:rPr>
          <w:sz w:val="20"/>
          <w:szCs w:val="20"/>
        </w:rPr>
      </w:pPr>
      <w:r>
        <w:rPr>
          <w:b/>
          <w:sz w:val="20"/>
        </w:rPr>
        <w:t xml:space="preserve">Postanowienia ogólne. </w:t>
      </w:r>
      <w:r>
        <w:rPr>
          <w:sz w:val="20"/>
        </w:rPr>
        <w:t xml:space="preserve">Oprogramowanie jest licencjonowane w trybie na użytkownika. Jeden użytkownik może używać kopii oprogramowania na urządzeniach Licencjobiorcy w celu rozwijania i testowania aplikacji. Powyższe dotyczy korzystania z kopii oprogramowania na serwerach wewnętrznych, które są przeznaczone wyłącznie do użytku własnego Licencjobiorcy. </w:t>
      </w:r>
      <w:r>
        <w:rPr>
          <w:sz w:val="20"/>
        </w:rPr>
        <w:lastRenderedPageBreak/>
        <w:t xml:space="preserve">Licencjobiorca nie może rozdzielać składników oprogramowania i uruchamiać ich w środowisku produkcyjnym lub na urządzeniach osób trzecich (o ile w niniejszej umowie nie określono inaczej) lub w celu innym niż projektowanie i testowanie aplikacji Licencjobiorcy. </w:t>
      </w:r>
    </w:p>
    <w:p w:rsidR="005E7217" w:rsidRPr="00C52CA4" w:rsidRDefault="00523FB6" w:rsidP="00C52CA4">
      <w:pPr>
        <w:pStyle w:val="Default"/>
        <w:numPr>
          <w:ilvl w:val="1"/>
          <w:numId w:val="24"/>
        </w:numPr>
        <w:tabs>
          <w:tab w:val="left" w:pos="720"/>
        </w:tabs>
        <w:spacing w:before="120" w:after="120"/>
        <w:ind w:left="720"/>
        <w:rPr>
          <w:sz w:val="20"/>
          <w:szCs w:val="20"/>
        </w:rPr>
      </w:pPr>
      <w:r>
        <w:rPr>
          <w:b/>
          <w:sz w:val="20"/>
        </w:rPr>
        <w:t>Używanie do celów demonstracyjnych</w:t>
      </w:r>
      <w:r>
        <w:rPr>
          <w:sz w:val="20"/>
        </w:rPr>
        <w:t>. Dozwolone powyżej sposoby używania obejmują używanie oprogramowania w celu demonstracji swoich aplikacji.</w:t>
      </w:r>
    </w:p>
    <w:p w:rsidR="005E7217" w:rsidRPr="00C52CA4" w:rsidRDefault="00523FB6" w:rsidP="00C52CA4">
      <w:pPr>
        <w:pStyle w:val="Default"/>
        <w:numPr>
          <w:ilvl w:val="0"/>
          <w:numId w:val="24"/>
        </w:numPr>
        <w:tabs>
          <w:tab w:val="left" w:pos="360"/>
        </w:tabs>
        <w:spacing w:before="120" w:after="120"/>
        <w:ind w:left="360"/>
        <w:rPr>
          <w:sz w:val="20"/>
          <w:szCs w:val="20"/>
        </w:rPr>
      </w:pPr>
      <w:r>
        <w:rPr>
          <w:b/>
          <w:sz w:val="20"/>
        </w:rPr>
        <w:t xml:space="preserve">DOKUMENTACJA. </w:t>
      </w:r>
      <w:r>
        <w:rPr>
          <w:sz w:val="20"/>
        </w:rPr>
        <w:t>Każda osoba, która jest upoważniona do uzyskiwania dostępu do komputera lub sieci wewnętrznej Licencjobiorcy, może kopiować dokumentację i używać jej jako materiałów referencyjnych na wewnętrzne potrzeby Licencjobiorcy.</w:t>
      </w:r>
    </w:p>
    <w:p w:rsidR="005E7217" w:rsidRPr="00C52CA4" w:rsidRDefault="00523FB6" w:rsidP="00C52CA4">
      <w:pPr>
        <w:pStyle w:val="Default"/>
        <w:numPr>
          <w:ilvl w:val="0"/>
          <w:numId w:val="24"/>
        </w:numPr>
        <w:tabs>
          <w:tab w:val="left" w:pos="360"/>
        </w:tabs>
        <w:spacing w:before="120" w:after="120"/>
        <w:ind w:left="360"/>
        <w:rPr>
          <w:sz w:val="20"/>
          <w:szCs w:val="20"/>
        </w:rPr>
      </w:pPr>
      <w:r>
        <w:rPr>
          <w:b/>
          <w:sz w:val="20"/>
        </w:rPr>
        <w:t xml:space="preserve">OPROGRAMOWANIE NIE DO ODSPRZEDAŻY. </w:t>
      </w:r>
      <w:r>
        <w:rPr>
          <w:sz w:val="20"/>
        </w:rPr>
        <w:t xml:space="preserve">Oprogramowanie oznaczone jako </w:t>
      </w:r>
      <w:r>
        <w:rPr>
          <w:sz w:val="20"/>
          <w:cs/>
        </w:rPr>
        <w:t>„</w:t>
      </w:r>
      <w:r>
        <w:rPr>
          <w:sz w:val="20"/>
        </w:rPr>
        <w:t>NDO</w:t>
      </w:r>
      <w:r>
        <w:rPr>
          <w:sz w:val="20"/>
          <w:cs/>
        </w:rPr>
        <w:t xml:space="preserve">” </w:t>
      </w:r>
      <w:r>
        <w:rPr>
          <w:sz w:val="20"/>
        </w:rPr>
        <w:t>(</w:t>
      </w:r>
      <w:r>
        <w:rPr>
          <w:sz w:val="20"/>
          <w:cs/>
        </w:rPr>
        <w:t>„</w:t>
      </w:r>
      <w:r>
        <w:rPr>
          <w:sz w:val="20"/>
        </w:rPr>
        <w:t>NFR</w:t>
      </w:r>
      <w:r>
        <w:rPr>
          <w:sz w:val="20"/>
          <w:cs/>
        </w:rPr>
        <w:t>”</w:t>
      </w:r>
      <w:r>
        <w:rPr>
          <w:sz w:val="20"/>
        </w:rPr>
        <w:t xml:space="preserve">) lub </w:t>
      </w:r>
      <w:r>
        <w:rPr>
          <w:sz w:val="20"/>
          <w:cs/>
        </w:rPr>
        <w:t>„</w:t>
      </w:r>
      <w:r>
        <w:rPr>
          <w:sz w:val="20"/>
        </w:rPr>
        <w:t>Nie do odsprzedaży</w:t>
      </w:r>
      <w:r>
        <w:rPr>
          <w:sz w:val="20"/>
          <w:cs/>
        </w:rPr>
        <w:t xml:space="preserve">” </w:t>
      </w:r>
      <w:r>
        <w:rPr>
          <w:sz w:val="20"/>
        </w:rPr>
        <w:t>(</w:t>
      </w:r>
      <w:r>
        <w:rPr>
          <w:sz w:val="20"/>
          <w:cs/>
        </w:rPr>
        <w:t>„</w:t>
      </w:r>
      <w:r>
        <w:rPr>
          <w:sz w:val="20"/>
        </w:rPr>
        <w:t>Not for Resale</w:t>
      </w:r>
      <w:r>
        <w:rPr>
          <w:sz w:val="20"/>
          <w:cs/>
        </w:rPr>
        <w:t>”</w:t>
      </w:r>
      <w:r>
        <w:rPr>
          <w:sz w:val="20"/>
        </w:rPr>
        <w:t>) nie podlega dalszej sprzedaży.</w:t>
      </w:r>
    </w:p>
    <w:p w:rsidR="005E7217" w:rsidRPr="00C52CA4" w:rsidRDefault="00523FB6" w:rsidP="00C52CA4">
      <w:pPr>
        <w:pStyle w:val="Default"/>
        <w:numPr>
          <w:ilvl w:val="0"/>
          <w:numId w:val="24"/>
        </w:numPr>
        <w:tabs>
          <w:tab w:val="left" w:pos="360"/>
        </w:tabs>
        <w:spacing w:before="120" w:after="120"/>
        <w:ind w:left="360"/>
        <w:rPr>
          <w:sz w:val="20"/>
          <w:szCs w:val="20"/>
        </w:rPr>
      </w:pPr>
      <w:r>
        <w:rPr>
          <w:b/>
          <w:sz w:val="20"/>
        </w:rPr>
        <w:t xml:space="preserve">DOWÓD POSIADANIA LICENCJI. </w:t>
      </w:r>
      <w:r>
        <w:rPr>
          <w:sz w:val="20"/>
        </w:rPr>
        <w:t xml:space="preserve">Dowodem posiadania licencji jest posiadanie przez Licencjobiorcę kodu z kuponu otrzymanego w ramach Subskrypcji Visual Studio oraz potwierdzenie zakupu oprogramowania lub możliwość uzyskania dostępu do usługi oprogramowania za pośrednictwem konta Microsoft. </w:t>
      </w:r>
    </w:p>
    <w:p w:rsidR="005E7217" w:rsidRPr="00C52CA4" w:rsidRDefault="00523FB6" w:rsidP="00C52CA4">
      <w:pPr>
        <w:pStyle w:val="Default"/>
        <w:numPr>
          <w:ilvl w:val="0"/>
          <w:numId w:val="24"/>
        </w:numPr>
        <w:tabs>
          <w:tab w:val="left" w:pos="360"/>
        </w:tabs>
        <w:spacing w:before="120" w:after="120"/>
        <w:ind w:left="360"/>
        <w:rPr>
          <w:sz w:val="20"/>
          <w:szCs w:val="20"/>
        </w:rPr>
      </w:pPr>
      <w:r>
        <w:rPr>
          <w:b/>
          <w:sz w:val="20"/>
        </w:rPr>
        <w:t xml:space="preserve">PRZEKAZANIE OSOBIE TRZECIEJ.  </w:t>
      </w:r>
      <w:r>
        <w:rPr>
          <w:sz w:val="20"/>
        </w:rPr>
        <w:t xml:space="preserve">Jeśli Licencjobiorca ma Subskrypcję Visual Studio, może przekazać to oprogramowanie i stosowne umowy licencyjne bezpośrednio innej osobie. Przed otrzymaniem oprogramowania osoba ta musi wyrazić zgodę na to, że postanowienia niniejszej umowy mają zastosowanie w przypadku przekazywania oprogramowania i korzystania z niego. Wspomniane przekazanie musi obejmować oprogramowanie i kod z kuponu. Licencjobiorca musi odinstalować ze swoich urządzeń wszystkie kopie przekazanego oprogramowania. Licencjobiorca nie może zachować żadnych kopii przekazanego kodu z kuponu; może jedynie zachować kopie oprogramowania, o ile ma na nie inne stosowne licencje. </w:t>
      </w:r>
      <w:r>
        <w:rPr>
          <w:b/>
          <w:sz w:val="20"/>
        </w:rPr>
        <w:t xml:space="preserve">Jeśli Licencjobiorca nabył ograniczoną czasowo licencję na korzystanie z oprogramowania lub jeśli takie oprogramowanie posiada etykietę </w:t>
      </w:r>
      <w:r>
        <w:rPr>
          <w:b/>
          <w:sz w:val="20"/>
          <w:cs/>
        </w:rPr>
        <w:t>„</w:t>
      </w:r>
      <w:r>
        <w:rPr>
          <w:b/>
          <w:sz w:val="20"/>
        </w:rPr>
        <w:t>Nie do odsprzedaży</w:t>
      </w:r>
      <w:r>
        <w:rPr>
          <w:b/>
          <w:sz w:val="20"/>
          <w:cs/>
        </w:rPr>
        <w:t xml:space="preserve">” </w:t>
      </w:r>
      <w:r>
        <w:rPr>
          <w:b/>
          <w:sz w:val="20"/>
        </w:rPr>
        <w:t>(</w:t>
      </w:r>
      <w:r>
        <w:rPr>
          <w:b/>
          <w:sz w:val="20"/>
          <w:cs/>
        </w:rPr>
        <w:t>„</w:t>
      </w:r>
      <w:r>
        <w:rPr>
          <w:b/>
          <w:sz w:val="20"/>
        </w:rPr>
        <w:t>Not for Resale</w:t>
      </w:r>
      <w:r>
        <w:rPr>
          <w:b/>
          <w:sz w:val="20"/>
          <w:cs/>
        </w:rPr>
        <w:t>”</w:t>
      </w:r>
      <w:r>
        <w:rPr>
          <w:b/>
          <w:sz w:val="20"/>
        </w:rPr>
        <w:t>), wtedy przekazanie osobie trzeciej oprogramowania lub praw wynikających z niniejszej umowy jest niedozwolone.</w:t>
      </w:r>
    </w:p>
    <w:p w:rsidR="005E7217" w:rsidRPr="00C52CA4" w:rsidRDefault="00523FB6" w:rsidP="00C52CA4">
      <w:pPr>
        <w:pStyle w:val="Default"/>
        <w:numPr>
          <w:ilvl w:val="0"/>
          <w:numId w:val="24"/>
        </w:numPr>
        <w:tabs>
          <w:tab w:val="left" w:pos="360"/>
        </w:tabs>
        <w:spacing w:before="120" w:after="120"/>
        <w:ind w:left="360"/>
        <w:rPr>
          <w:sz w:val="20"/>
          <w:szCs w:val="20"/>
        </w:rPr>
      </w:pPr>
      <w:r>
        <w:rPr>
          <w:b/>
          <w:sz w:val="20"/>
        </w:rPr>
        <w:t>Usługi pomocy technicznej.</w:t>
      </w:r>
      <w:r>
        <w:rPr>
          <w:sz w:val="20"/>
        </w:rPr>
        <w:t xml:space="preserve"> Microsoft zapewnia wsparcie dla oprogramowania opisanego na stronie</w:t>
      </w:r>
      <w:hyperlink r:id="rId9" w:history="1">
        <w:r>
          <w:rPr>
            <w:rStyle w:val="Hyperlink"/>
            <w:sz w:val="20"/>
          </w:rPr>
          <w:t>https://support.microsoft.com</w:t>
        </w:r>
      </w:hyperlink>
      <w:r>
        <w:rPr>
          <w:sz w:val="20"/>
        </w:rPr>
        <w:t xml:space="preserve">. </w:t>
      </w:r>
    </w:p>
    <w:p w:rsidR="005E7217" w:rsidRPr="00C52CA4" w:rsidRDefault="00523FB6" w:rsidP="00C52CA4">
      <w:pPr>
        <w:pStyle w:val="Default"/>
        <w:numPr>
          <w:ilvl w:val="0"/>
          <w:numId w:val="24"/>
        </w:numPr>
        <w:tabs>
          <w:tab w:val="left" w:pos="360"/>
        </w:tabs>
        <w:spacing w:before="120" w:after="120"/>
        <w:ind w:left="360"/>
        <w:rPr>
          <w:sz w:val="20"/>
          <w:szCs w:val="20"/>
        </w:rPr>
      </w:pPr>
      <w:r>
        <w:rPr>
          <w:b/>
          <w:sz w:val="20"/>
        </w:rPr>
        <w:t xml:space="preserve">OGRANICZONA RĘKOJMIA. </w:t>
      </w:r>
      <w:r>
        <w:rPr>
          <w:sz w:val="20"/>
        </w:rPr>
        <w:t>Jeśli będą Państwo postępować zgodnie z instrukcją, oprogramowanie będzie działać zasadniczo zgodnie z opisem znajdującym się w materiałach firmy Microsoft, które otrzymali Państwo w oprogramowaniu lub razem z nim.</w:t>
      </w:r>
    </w:p>
    <w:p w:rsidR="005E7217" w:rsidRPr="00C52CA4" w:rsidRDefault="00523FB6" w:rsidP="00C52CA4">
      <w:pPr>
        <w:pStyle w:val="Default"/>
        <w:spacing w:before="120" w:after="120"/>
        <w:ind w:left="360"/>
        <w:rPr>
          <w:sz w:val="20"/>
          <w:szCs w:val="20"/>
        </w:rPr>
      </w:pPr>
      <w:r>
        <w:rPr>
          <w:sz w:val="20"/>
        </w:rPr>
        <w:t xml:space="preserve">Odniesienia do </w:t>
      </w:r>
      <w:r>
        <w:rPr>
          <w:sz w:val="20"/>
          <w:cs/>
        </w:rPr>
        <w:t>„</w:t>
      </w:r>
      <w:r>
        <w:rPr>
          <w:sz w:val="20"/>
        </w:rPr>
        <w:t>ograniczonej gwarancji</w:t>
      </w:r>
      <w:r>
        <w:rPr>
          <w:sz w:val="20"/>
          <w:cs/>
        </w:rPr>
        <w:t xml:space="preserve">” </w:t>
      </w:r>
      <w:r>
        <w:rPr>
          <w:sz w:val="20"/>
        </w:rPr>
        <w:t>stanowią odniesienia do wyraźnie określonej gwarancji udzielanej przez Microsoft. Niniejsza gwarancja uzupełnia inne prawa i uprawnienia przysługujące Licencjobiorcy na mocy przepisów prawa, łącznie z jego prawami i uprawnieniami wynikającymi z ustawowych rękojmi na mocy krajowej ustawy o ochronie konsumentów.</w:t>
      </w:r>
    </w:p>
    <w:p w:rsidR="005E7217" w:rsidRPr="00C52CA4" w:rsidRDefault="00523FB6" w:rsidP="00C52CA4">
      <w:pPr>
        <w:pStyle w:val="Default"/>
        <w:numPr>
          <w:ilvl w:val="0"/>
          <w:numId w:val="24"/>
        </w:numPr>
        <w:tabs>
          <w:tab w:val="left" w:pos="360"/>
        </w:tabs>
        <w:spacing w:before="120" w:after="120"/>
        <w:ind w:left="360"/>
        <w:rPr>
          <w:sz w:val="20"/>
          <w:szCs w:val="20"/>
        </w:rPr>
      </w:pPr>
      <w:r>
        <w:rPr>
          <w:b/>
          <w:sz w:val="20"/>
        </w:rPr>
        <w:t xml:space="preserve">OKRES OBOWIĄZYWANIA GWARANCJI, BENEFICJENT GWARANCJI, OKRES OBOWIĄZYWANIA DOROZUMIANYCH GWARANCJI. NINIEJSZA OGRANICZONA GWARANCJA OBEJMUJE OPROGRAMOWANIE I UDZIELONA JEST NA OKRES JEDNEGO ROKU OD DNIA JEGO NABYCIA PRZEZ PIERWSZEGO UŻYTKOWNIKA. JEŚLI W CIĄGU TEGO ROKU LICENCJOBIORCA OTRZYMA UZUPEŁNIENIA, AKTUALIZACJE LUB OPROGRAMOWANIE ZASTĘPCZE, BĘDĄ ONE OBJĘTE GWARANCJĄ PRZEZ CZAS POZOSTAŁY DO JEJ WYGAŚNIĘCIA LUB PRZEZ 30 DNI, JEŚLI OKRES TEN JEST DŁUŻSZY. </w:t>
      </w:r>
      <w:r>
        <w:rPr>
          <w:sz w:val="20"/>
        </w:rPr>
        <w:t>Jeśli pierwszy użytkownik przekaże oprogramowanie osobie trzeciej, odbiorcy będzie przysługiwać gwarancja na oprogramowanie obowiązująca do czasu jej wygaśnięcia.</w:t>
      </w:r>
    </w:p>
    <w:p w:rsidR="005E7217" w:rsidRPr="00C52CA4" w:rsidRDefault="00523FB6" w:rsidP="00C52CA4">
      <w:pPr>
        <w:pStyle w:val="Default"/>
        <w:spacing w:before="120" w:after="120"/>
        <w:ind w:left="360"/>
        <w:rPr>
          <w:sz w:val="20"/>
          <w:szCs w:val="20"/>
        </w:rPr>
      </w:pPr>
      <w:r>
        <w:rPr>
          <w:b/>
          <w:sz w:val="20"/>
        </w:rPr>
        <w:lastRenderedPageBreak/>
        <w:t>W ZAKRESIE DOZWOLONYM PRZEPISAMI PRAWA WSZELKIE UPRAWNIENIA Z TYTUŁU DOROZUMIANYCH RĘKOJMI, GWARANCJI LUB INNYCH ZAPEWNIEŃ MAJĄ ZASTOSOWANIE TYLKO W OKRESIE OBOWIĄZYWANIA NINIEJSZEJ OGRANICZONEJ GWARANCJI.</w:t>
      </w:r>
      <w:r>
        <w:rPr>
          <w:sz w:val="20"/>
        </w:rPr>
        <w:t xml:space="preserve"> Prawo obowiązujące w niektórych krajach nie zezwala na ograniczenie okresu obowiązywania dorozumianej rękojmi. Powyższe ograniczenia mogą zatem nie dotyczyć Licencjobiorcy. Ponadto ograniczenia te mogą nie dotyczyć Licencjobiorcy, ponieważ w niektórych krajach nie zezwala się na ograniczanie okresu obowiązywania dorozumianych rękojmi, gwarancji lub zapewnień.</w:t>
      </w:r>
    </w:p>
    <w:p w:rsidR="005E7217" w:rsidRPr="00C52CA4" w:rsidRDefault="00523FB6" w:rsidP="00C52CA4">
      <w:pPr>
        <w:pStyle w:val="Default"/>
        <w:numPr>
          <w:ilvl w:val="0"/>
          <w:numId w:val="24"/>
        </w:numPr>
        <w:tabs>
          <w:tab w:val="left" w:pos="360"/>
        </w:tabs>
        <w:spacing w:before="120" w:after="120"/>
        <w:ind w:left="360"/>
        <w:rPr>
          <w:sz w:val="20"/>
          <w:szCs w:val="20"/>
        </w:rPr>
      </w:pPr>
      <w:r>
        <w:rPr>
          <w:b/>
          <w:sz w:val="20"/>
        </w:rPr>
        <w:t xml:space="preserve">WYŁĄCZENIA GWARANCJI. </w:t>
      </w:r>
      <w:r>
        <w:rPr>
          <w:sz w:val="20"/>
        </w:rPr>
        <w:t>Niniejsza gwarancja nie obejmuje problemów spowodowanych Państwa działaniami (lub zaniechaniem działań), działaniami innych osób lub zdarzeniami będącymi poza rozsądną kontrolą Microsoft.</w:t>
      </w:r>
    </w:p>
    <w:p w:rsidR="005E7217" w:rsidRPr="00C52CA4" w:rsidRDefault="00523FB6" w:rsidP="00C52CA4">
      <w:pPr>
        <w:pStyle w:val="Default"/>
        <w:numPr>
          <w:ilvl w:val="0"/>
          <w:numId w:val="24"/>
        </w:numPr>
        <w:tabs>
          <w:tab w:val="left" w:pos="360"/>
        </w:tabs>
        <w:spacing w:before="120" w:after="120"/>
        <w:ind w:left="360"/>
        <w:rPr>
          <w:sz w:val="20"/>
          <w:szCs w:val="20"/>
        </w:rPr>
      </w:pPr>
      <w:r>
        <w:rPr>
          <w:b/>
          <w:sz w:val="20"/>
        </w:rPr>
        <w:t>UPRAWNIENIA Z TYTUŁU NARUSZENIA GWARANCJI.</w:t>
      </w:r>
      <w:r>
        <w:rPr>
          <w:sz w:val="20"/>
        </w:rPr>
        <w:t xml:space="preserve"> </w:t>
      </w:r>
      <w:r>
        <w:rPr>
          <w:b/>
          <w:sz w:val="20"/>
        </w:rPr>
        <w:t>MICROSOFT BEZPŁATNIE WYMIENI ALBO NAPRAWI OPROGRAMOWANIE. JEŚLI MICROSOFT NIE BĘDZIE MÓGŁ NAPRAWIĆ ANI WYMIENIĆ OPROGRAMOWANIA, ZWRÓCI WÓWCZAS KWOTĘ WIDNIEJĄCĄ NA RACHUNKU ZA OPROGRAMOWANIE. PONADTO MICROSOFT BEZPŁATNIE NAPRAWI ALBO WYMIENI UZUPEŁNIENIA, AKTUALIZACJE I OPROGRAMOWANIE ZASTĘPCZE. JEŚLI MICROSOFT NIE BĘDZIE MÓGŁ ICH NAPRAWIĆ ANI WYMIENIĆ, ZWRÓCI LICENCJOBIORCY EWENTUALNIE ZAPŁACONĄ ZA NIE KWOTĘ. ABY OTRZYMAĆ ZWROT PIENIĘDZY, LICENCJOBIORCA MUSI ODINSTALOWAĆ OPROGRAMOWANIE I ZWRÓCIĆ MICROSOFT WSZYSTKIE NOŚNIKI WRAZ Z DOTYCZĄCYMI TEGO OPROGRAMOWANIA MATERIAŁAMI I DOWODEM NABYCIA. JEST TO JEDYNE ŚWIADCZENIE NA RZECZ LICENCJOBIORCY, KTÓRE PRZYSŁUGUJE Z TYTUŁU NARUSZENIA WARUNKÓW OGRANICZONEJ GWARANCJI.</w:t>
      </w:r>
    </w:p>
    <w:p w:rsidR="005E7217" w:rsidRPr="00C52CA4" w:rsidRDefault="00523FB6" w:rsidP="00C52CA4">
      <w:pPr>
        <w:pStyle w:val="Default"/>
        <w:numPr>
          <w:ilvl w:val="0"/>
          <w:numId w:val="24"/>
        </w:numPr>
        <w:tabs>
          <w:tab w:val="left" w:pos="360"/>
        </w:tabs>
        <w:spacing w:before="120" w:after="120"/>
        <w:ind w:left="360"/>
        <w:rPr>
          <w:sz w:val="20"/>
          <w:szCs w:val="20"/>
        </w:rPr>
      </w:pPr>
      <w:r>
        <w:rPr>
          <w:b/>
          <w:sz w:val="20"/>
        </w:rPr>
        <w:t>ZACHOWANIE PRAW KONSUMENTA.</w:t>
      </w:r>
      <w:r>
        <w:rPr>
          <w:sz w:val="20"/>
        </w:rPr>
        <w:t xml:space="preserve"> </w:t>
      </w:r>
      <w:r>
        <w:rPr>
          <w:b/>
          <w:sz w:val="20"/>
        </w:rPr>
        <w:t>POSTANOWIENIA NINIEJSZEJ UMOWY NIE MOGĄ OGRANICZYĆ PRAW KONSUMENTA PRZYSŁUGUJĄCYCH LICENCJOBIORCY NA MOCY OBOWIĄZUJĄCEGO PRAWA MIEJSCOWEGO.</w:t>
      </w:r>
    </w:p>
    <w:p w:rsidR="00D67A09" w:rsidRPr="00C52CA4" w:rsidRDefault="00523FB6" w:rsidP="00C52CA4">
      <w:pPr>
        <w:pStyle w:val="Default"/>
        <w:numPr>
          <w:ilvl w:val="0"/>
          <w:numId w:val="24"/>
        </w:numPr>
        <w:tabs>
          <w:tab w:val="left" w:pos="360"/>
        </w:tabs>
        <w:spacing w:before="120" w:after="120"/>
        <w:ind w:left="360"/>
        <w:rPr>
          <w:sz w:val="20"/>
          <w:szCs w:val="20"/>
        </w:rPr>
      </w:pPr>
      <w:r>
        <w:rPr>
          <w:b/>
          <w:sz w:val="20"/>
        </w:rPr>
        <w:t>PROCEDURY GWARANCYJNE.</w:t>
      </w:r>
      <w:r>
        <w:rPr>
          <w:sz w:val="20"/>
        </w:rPr>
        <w:t xml:space="preserve"> Uzyskanie dostępu do usług gwarancyjnych wymaga okazania dowodu zakupu oprogramowania.</w:t>
      </w:r>
    </w:p>
    <w:p w:rsidR="00D67A09" w:rsidRPr="00C52CA4" w:rsidRDefault="00523FB6" w:rsidP="00C52CA4">
      <w:pPr>
        <w:pStyle w:val="Default"/>
        <w:numPr>
          <w:ilvl w:val="1"/>
          <w:numId w:val="24"/>
        </w:numPr>
        <w:tabs>
          <w:tab w:val="left" w:pos="720"/>
        </w:tabs>
        <w:spacing w:before="120" w:after="120"/>
        <w:ind w:left="720"/>
        <w:rPr>
          <w:sz w:val="20"/>
          <w:szCs w:val="20"/>
        </w:rPr>
      </w:pPr>
      <w:r>
        <w:rPr>
          <w:b/>
          <w:sz w:val="20"/>
        </w:rPr>
        <w:t>Stany Zjednoczone i Kanada</w:t>
      </w:r>
      <w:r>
        <w:rPr>
          <w:sz w:val="20"/>
        </w:rPr>
        <w:t xml:space="preserve">. Aby skorzystać z usługi gwarancyjnej lub uzyskać informacje na temat zwrotu pieniędzy za oprogramowanie nabyte w Stanach Zjednoczonych lub Kanadzie, należy skontaktować się z Microsoft: </w:t>
      </w:r>
    </w:p>
    <w:p w:rsidR="00D67A09" w:rsidRPr="00C52CA4" w:rsidRDefault="00523FB6"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(800) MICROSOFT; </w:t>
      </w:r>
    </w:p>
    <w:p w:rsidR="00D67A09" w:rsidRPr="00C52CA4" w:rsidRDefault="00523FB6"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pisząc na adres: Microsoft Customer Service and Support, One Microsoft Way, Redmond, WA 98052-6399, USA lub </w:t>
      </w:r>
    </w:p>
    <w:p w:rsidR="005E7217" w:rsidRPr="00C52CA4" w:rsidRDefault="00523FB6"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odwiedzając stronę</w:t>
      </w:r>
      <w:hyperlink r:id="rId10" w:history="1">
        <w:r>
          <w:rPr>
            <w:rStyle w:val="Hyperlink"/>
            <w:sz w:val="20"/>
          </w:rPr>
          <w:t>aka.ms/nareturns</w:t>
        </w:r>
      </w:hyperlink>
      <w:r>
        <w:rPr>
          <w:sz w:val="20"/>
        </w:rPr>
        <w:t xml:space="preserve"> lub pisząc wiadomość e-mail </w:t>
      </w:r>
      <w:hyperlink r:id="rId11" w:history="1">
        <w:r>
          <w:rPr>
            <w:rStyle w:val="Hyperlink"/>
            <w:sz w:val="20"/>
          </w:rPr>
          <w:t>xamacctg@microsoft.com</w:t>
        </w:r>
      </w:hyperlink>
      <w:r>
        <w:rPr>
          <w:sz w:val="20"/>
        </w:rPr>
        <w:t>.</w:t>
      </w:r>
    </w:p>
    <w:p w:rsidR="00D67A09" w:rsidRPr="00C52CA4" w:rsidRDefault="00523FB6" w:rsidP="00C52CA4">
      <w:pPr>
        <w:pStyle w:val="Default"/>
        <w:numPr>
          <w:ilvl w:val="1"/>
          <w:numId w:val="24"/>
        </w:numPr>
        <w:tabs>
          <w:tab w:val="left" w:pos="720"/>
        </w:tabs>
        <w:spacing w:before="120" w:after="120"/>
        <w:ind w:left="720"/>
        <w:rPr>
          <w:sz w:val="20"/>
          <w:szCs w:val="20"/>
        </w:rPr>
      </w:pPr>
      <w:r>
        <w:rPr>
          <w:b/>
          <w:sz w:val="20"/>
        </w:rPr>
        <w:t>Europa, Bliski Wschód i Afryka.</w:t>
      </w:r>
      <w:r>
        <w:rPr>
          <w:sz w:val="20"/>
        </w:rPr>
        <w:t xml:space="preserve"> Jeśli Licencjobiorca nabył oprogramowanie w Europie, na Bliskim Wschodzie lub w Afryce, niniejsza ograniczona gwarancja jest udzielana przez Microsoft Ireland Operations Limited. Aby wnieść roszczenie z tytułu niniejszej gwarancji, Licencjobiorca powinien skontaktować się z: </w:t>
      </w:r>
    </w:p>
    <w:p w:rsidR="00EE141A" w:rsidRPr="00C52CA4" w:rsidRDefault="00523FB6"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Microsoft Ireland Operations Limited, Customer Care Centre, Atrium Building Block B, Carmanhall Road, Sandyford Industrial Estate, Dublin 18, Irlandia lub </w:t>
      </w:r>
    </w:p>
    <w:p w:rsidR="00C73DAA" w:rsidRPr="00C52CA4" w:rsidRDefault="00523FB6"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lastRenderedPageBreak/>
        <w:t>z podmiotem stowarzyszonym Microsoft w kraju Licencjobiorcy (należy odwiedzić stronę</w:t>
      </w:r>
      <w:hyperlink r:id="rId12" w:history="1">
        <w:r>
          <w:rPr>
            <w:rStyle w:val="Hyperlink"/>
            <w:sz w:val="20"/>
          </w:rPr>
          <w:t>aka.ms/msoffices</w:t>
        </w:r>
      </w:hyperlink>
      <w:r>
        <w:rPr>
          <w:sz w:val="20"/>
        </w:rPr>
        <w:t>).</w:t>
      </w:r>
    </w:p>
    <w:p w:rsidR="00D67A09" w:rsidRPr="00C52CA4" w:rsidRDefault="00523FB6" w:rsidP="00C52CA4">
      <w:pPr>
        <w:pStyle w:val="Default"/>
        <w:numPr>
          <w:ilvl w:val="1"/>
          <w:numId w:val="24"/>
        </w:numPr>
        <w:tabs>
          <w:tab w:val="left" w:pos="720"/>
        </w:tabs>
        <w:spacing w:before="120" w:after="120"/>
        <w:ind w:left="720"/>
        <w:rPr>
          <w:sz w:val="20"/>
          <w:szCs w:val="20"/>
        </w:rPr>
      </w:pPr>
      <w:r>
        <w:rPr>
          <w:b/>
          <w:sz w:val="20"/>
        </w:rPr>
        <w:t>Australia</w:t>
      </w:r>
      <w:r>
        <w:rPr>
          <w:sz w:val="20"/>
        </w:rPr>
        <w:t xml:space="preserve">. Aby skorzystać z Usług Gwarancyjnych lub wystąpić o ewentualny zwrot kosztów w związku z gwarancją (jeśli ma to zastosowanie) dla oprogramowania nabytego w Australii, należy skontaktować się z Microsoft: </w:t>
      </w:r>
    </w:p>
    <w:p w:rsidR="00D67A09" w:rsidRPr="00C52CA4" w:rsidRDefault="00523FB6"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13 20 58 lub </w:t>
      </w:r>
    </w:p>
    <w:p w:rsidR="00D67A09" w:rsidRPr="00C52CA4" w:rsidRDefault="00523FB6"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pisząc na adres Microsoft Pty Ltd, 1 Epping Road, North Ryde NSW 2113, Australia.</w:t>
      </w:r>
    </w:p>
    <w:p w:rsidR="00D67A09" w:rsidRPr="00C52CA4" w:rsidRDefault="00523FB6" w:rsidP="00C52CA4">
      <w:pPr>
        <w:pStyle w:val="Default"/>
        <w:numPr>
          <w:ilvl w:val="1"/>
          <w:numId w:val="24"/>
        </w:numPr>
        <w:tabs>
          <w:tab w:val="left" w:pos="720"/>
        </w:tabs>
        <w:spacing w:before="120" w:after="120"/>
        <w:ind w:left="720"/>
        <w:rPr>
          <w:sz w:val="20"/>
          <w:szCs w:val="20"/>
        </w:rPr>
      </w:pPr>
      <w:r>
        <w:rPr>
          <w:b/>
          <w:sz w:val="20"/>
        </w:rPr>
        <w:t>Poza Stanami Zjednoczonymi, Kanadą, Europą, Bliskim Wschodem, Afryką i Australią</w:t>
      </w:r>
      <w:r>
        <w:rPr>
          <w:sz w:val="20"/>
        </w:rPr>
        <w:t>. Jeśli Licencjobiorca nabył oprogramowanie poza Stanami Zjednoczonymi, Kanadą, Europą, Bliskim Wschodem, Afryką i Australią, powinien skontaktować się z podmiotem stowarzyszonym Microsoft w kraju Licencjobiorcy (należy odwiedzić stronę</w:t>
      </w:r>
      <w:hyperlink r:id="rId13" w:history="1">
        <w:r>
          <w:rPr>
            <w:rStyle w:val="Hyperlink"/>
            <w:sz w:val="20"/>
          </w:rPr>
          <w:t>aka.ms/msoffices</w:t>
        </w:r>
      </w:hyperlink>
      <w:r>
        <w:rPr>
          <w:sz w:val="20"/>
        </w:rPr>
        <w:t>).</w:t>
      </w:r>
    </w:p>
    <w:p w:rsidR="005E7217" w:rsidRPr="00C52CA4" w:rsidRDefault="00523FB6" w:rsidP="00C52CA4">
      <w:pPr>
        <w:pStyle w:val="Default"/>
        <w:numPr>
          <w:ilvl w:val="0"/>
          <w:numId w:val="24"/>
        </w:numPr>
        <w:tabs>
          <w:tab w:val="left" w:pos="360"/>
        </w:tabs>
        <w:spacing w:before="120" w:after="120"/>
        <w:ind w:left="360"/>
        <w:rPr>
          <w:sz w:val="20"/>
          <w:szCs w:val="20"/>
        </w:rPr>
      </w:pPr>
      <w:r>
        <w:rPr>
          <w:b/>
          <w:sz w:val="20"/>
        </w:rPr>
        <w:t>BRAK INNYCH GWARANCJI I RĘKOJMI.</w:t>
      </w:r>
      <w:r>
        <w:rPr>
          <w:sz w:val="20"/>
        </w:rPr>
        <w:t xml:space="preserve"> </w:t>
      </w:r>
      <w:r>
        <w:rPr>
          <w:b/>
          <w:sz w:val="20"/>
        </w:rPr>
        <w:t xml:space="preserve">OGRANICZONA GWARANCJA JEST JEDYNĄ GWARANCJĄ UDZIELANĄ PRZEZ MICROSOFT. MICROSOFT NIE UDZIELA ŻADNYCH INNYCH WYRAŹNYCH RĘKOJMI, GWARANCJI ANI ZAPEWNIEŃ. ZGODNIE Z LOKALNYM PRAWEM, MICROSOFT WYŁĄCZA DOMNIEMANE GWARANCJE ZGODNOŚCI TOWARU Z UMOWĄ, PRZYDATNOŚCI DO OKREŚLONEGO CELU ORAZ NIENARUSZALNOŚCI. </w:t>
      </w:r>
      <w:r>
        <w:rPr>
          <w:sz w:val="20"/>
        </w:rPr>
        <w:t xml:space="preserve">Jeśli pomimo niniejszego wyłączenia Licencjobiorcy przysługują na mocy prawa miejscowego jakiekolwiek uprawnienia z tytułu dorozumianej rękojmi, gwarancji lub innych zapewnień, Licencjobiorca ma prawo do świadczeń opisanych w punkcie </w:t>
      </w:r>
      <w:r>
        <w:rPr>
          <w:sz w:val="20"/>
          <w:cs/>
        </w:rPr>
        <w:t>„</w:t>
      </w:r>
      <w:r>
        <w:rPr>
          <w:sz w:val="20"/>
        </w:rPr>
        <w:t>Uprawnienia z tytułu naruszenia rękojmi</w:t>
      </w:r>
      <w:r>
        <w:rPr>
          <w:sz w:val="20"/>
          <w:cs/>
        </w:rPr>
        <w:t xml:space="preserve">” </w:t>
      </w:r>
      <w:r>
        <w:rPr>
          <w:sz w:val="20"/>
        </w:rPr>
        <w:t>powyżej w zakresie dozwolonym przez obowiązujące prawo miejscowe.</w:t>
      </w:r>
    </w:p>
    <w:p w:rsidR="005E7217" w:rsidRPr="00C52CA4" w:rsidRDefault="00523FB6" w:rsidP="00C52CA4">
      <w:pPr>
        <w:pStyle w:val="Default"/>
        <w:spacing w:before="120" w:after="120"/>
        <w:ind w:left="360"/>
        <w:rPr>
          <w:sz w:val="20"/>
          <w:szCs w:val="20"/>
        </w:rPr>
      </w:pPr>
      <w:r>
        <w:rPr>
          <w:b/>
          <w:sz w:val="20"/>
        </w:rPr>
        <w:t>POSTANOWIENIE DOTYCZĄCE WYŁĄCZNIE LICENCJOBIORCÓW W AUSTRALII.</w:t>
      </w:r>
      <w:r>
        <w:rPr>
          <w:sz w:val="20"/>
        </w:rPr>
        <w:t xml:space="preserve"> Odniesienia do </w:t>
      </w:r>
      <w:r>
        <w:rPr>
          <w:sz w:val="20"/>
          <w:cs/>
        </w:rPr>
        <w:t>„</w:t>
      </w:r>
      <w:r>
        <w:rPr>
          <w:sz w:val="20"/>
        </w:rPr>
        <w:t>ograniczonej gwarancji</w:t>
      </w:r>
      <w:r>
        <w:rPr>
          <w:sz w:val="20"/>
          <w:cs/>
        </w:rPr>
        <w:t xml:space="preserve">” </w:t>
      </w:r>
      <w:r>
        <w:rPr>
          <w:sz w:val="20"/>
        </w:rPr>
        <w:t>stanowią odniesienia do gwarancji udzielanej przez Microsoft. Gwarancja ta uzupełnia inne prawa i uprawnienia przysługujące Licencjobiorcy na mocy prawa, łącznie z jego prawami i uprawnieniami wynikającymi z australijskiej ustawy o ochronie konsumentów. Produkty Microsoft są objęte gwarancją, której zgodnie z obowiązującym w Australii prawem konsumenckim nie można wyłączyć. Licencjobiorca ma prawo do wymiany towarów lub zwrotu kosztów w przypadku poważnej awarii oraz odszkodowania z tytułu wszelkich innych strat lub szkód, które są odpowiednio możliwe do przewidzenia. Licencjobiorca ma również prawo do skorzystania z naprawy lub wymiany towarów, jeżeli jakość towarów nie jest akceptowalna, a awaria nie jest równoznaczna z poważną awarią. Towary przesłane do naprawy mogą zostać zastąpione zregenerowanymi produktami tego samego typu, a nie wymienione. Zregenerowane części mogą być użyte do naprawy produktów.</w:t>
      </w:r>
    </w:p>
    <w:p w:rsidR="005E7217" w:rsidRPr="00C52CA4" w:rsidRDefault="00523FB6" w:rsidP="00C52CA4">
      <w:pPr>
        <w:pStyle w:val="Default"/>
        <w:numPr>
          <w:ilvl w:val="0"/>
          <w:numId w:val="24"/>
        </w:numPr>
        <w:tabs>
          <w:tab w:val="left" w:pos="360"/>
        </w:tabs>
        <w:spacing w:before="120" w:after="120"/>
        <w:ind w:left="360"/>
        <w:rPr>
          <w:sz w:val="20"/>
          <w:szCs w:val="20"/>
        </w:rPr>
      </w:pPr>
      <w:r>
        <w:rPr>
          <w:b/>
          <w:sz w:val="20"/>
        </w:rPr>
        <w:t>OGRANICZENIE I WYŁĄCZENIE ODPOWIEDZIALNOŚCI ZA SZKODY Z TYTUŁU NARUSZENIA GWARANCJI. ZNAJDUJĄCA SIĘ W SEKCJI III KLAUZULA DOTYCZĄCA OGRANICZENIA I WYŁĄCZENIA ODPOWIEDZIALNOŚCI ZA SZKODY MA ZASTOSOWANIE W PRZYPADKU NARUSZENIA NINIEJSZEJ OGRANICZONEJ GWARANCJI.</w:t>
      </w:r>
    </w:p>
    <w:p w:rsidR="005E7217" w:rsidRPr="00C52CA4" w:rsidRDefault="00523FB6" w:rsidP="00C52CA4">
      <w:pPr>
        <w:pStyle w:val="Default"/>
        <w:spacing w:before="120" w:after="120"/>
        <w:ind w:left="360"/>
        <w:rPr>
          <w:b/>
          <w:sz w:val="20"/>
          <w:szCs w:val="20"/>
        </w:rPr>
      </w:pPr>
      <w:r>
        <w:rPr>
          <w:b/>
          <w:sz w:val="20"/>
        </w:rPr>
        <w:t>NA MOCY NINIEJSZEJ GWARANCJI LICENCJOBIORCA OTRZYMUJE OKREŚLONE PRAWA. LICENCJOBIORCY MOGĄ TAKŻE PRZYSŁUGIWAĆ INNE UPRAWNIENIA NA MOCY PRZEPISÓW PRAWA STANOWEGO. LICENCJOBIORCY MOGĄ TEŻ PRZYSŁUGIWAĆ INNE UPRAWNIENIA NA MOCY PRZEPISÓW PRAWA KRAJOWEGO.</w:t>
      </w:r>
    </w:p>
    <w:p w:rsidR="005E7217" w:rsidRPr="00C52CA4" w:rsidRDefault="005E7217" w:rsidP="00C52CA4">
      <w:pPr>
        <w:pBdr>
          <w:bottom w:val="single" w:sz="4" w:space="1" w:color="auto"/>
        </w:pBdr>
        <w:spacing w:before="120" w:after="120" w:line="240" w:lineRule="auto"/>
        <w:rPr>
          <w:rFonts w:ascii="Tahoma" w:hAnsi="Tahoma" w:cs="Tahoma"/>
          <w:sz w:val="20"/>
          <w:szCs w:val="20"/>
        </w:rPr>
      </w:pPr>
    </w:p>
    <w:p w:rsidR="005E7217" w:rsidRPr="00C52CA4" w:rsidRDefault="00523FB6" w:rsidP="00C52CA4">
      <w:pPr>
        <w:pStyle w:val="Default"/>
        <w:spacing w:before="120" w:after="120"/>
        <w:rPr>
          <w:sz w:val="20"/>
          <w:szCs w:val="20"/>
        </w:rPr>
      </w:pPr>
      <w:r>
        <w:rPr>
          <w:b/>
          <w:sz w:val="20"/>
        </w:rPr>
        <w:t xml:space="preserve">SEKCJA III. POSTANOWIENIA OGÓLNE. </w:t>
      </w:r>
      <w:r>
        <w:rPr>
          <w:sz w:val="20"/>
        </w:rPr>
        <w:t>Postanowienia w tej sekcji mają zastosowanie do wszystkich wersji oprogramowania wymienionego powyżej.</w:t>
      </w:r>
    </w:p>
    <w:p w:rsidR="005E7217" w:rsidRPr="00C52CA4" w:rsidRDefault="00523FB6" w:rsidP="00C52CA4">
      <w:pPr>
        <w:pStyle w:val="Default"/>
        <w:numPr>
          <w:ilvl w:val="0"/>
          <w:numId w:val="25"/>
        </w:numPr>
        <w:tabs>
          <w:tab w:val="left" w:pos="360"/>
        </w:tabs>
        <w:spacing w:before="120" w:after="120"/>
        <w:ind w:left="360"/>
        <w:rPr>
          <w:sz w:val="20"/>
          <w:szCs w:val="20"/>
        </w:rPr>
      </w:pPr>
      <w:r>
        <w:rPr>
          <w:b/>
          <w:sz w:val="20"/>
        </w:rPr>
        <w:lastRenderedPageBreak/>
        <w:t xml:space="preserve">SKŁADNIKI POCHODZĄCE OD OSÓB TRZECICH. </w:t>
      </w:r>
      <w:r>
        <w:rPr>
          <w:sz w:val="20"/>
        </w:rPr>
        <w:t xml:space="preserve">Oprogramowanie może zawierać składniki pochodzące od osób trzecich, objęte odrębnymi informacjami prawnymi lub podlegające innym umowom, zgodnie z ewentualnym opisem w plikach ThirdPartyNotices dołączonych do oprogramowania. </w:t>
      </w:r>
    </w:p>
    <w:p w:rsidR="005E7217" w:rsidRPr="00C52CA4" w:rsidRDefault="00523FB6" w:rsidP="00C52CA4">
      <w:pPr>
        <w:pStyle w:val="Default"/>
        <w:numPr>
          <w:ilvl w:val="0"/>
          <w:numId w:val="25"/>
        </w:numPr>
        <w:tabs>
          <w:tab w:val="left" w:pos="360"/>
        </w:tabs>
        <w:spacing w:before="120" w:after="120"/>
        <w:ind w:left="360"/>
        <w:rPr>
          <w:sz w:val="20"/>
          <w:szCs w:val="20"/>
        </w:rPr>
      </w:pPr>
      <w:r>
        <w:rPr>
          <w:b/>
          <w:sz w:val="20"/>
        </w:rPr>
        <w:t xml:space="preserve">MENEDŻERY PAKIETÓW. </w:t>
      </w:r>
      <w:r>
        <w:rPr>
          <w:sz w:val="20"/>
        </w:rPr>
        <w:t>Oprogramowanie może zawierać menedżery pakietów, takie jak NuGet, które umożliwiają Licencjobiorcy pobieranie innych pakietów oprogramowania pochodzącego od Microsoft i osób trzecich w celu korzystania z nich za pośrednictwem aplikacji Licencjobiorcy. Te pakiety podlegają odnośnym licencjom, a nie niniejszej umowie. Microsoft nie rozpowszechnia żadnych pakietów osób trzecich, a także nie udziela na nie licencji ani żadnej gwarancji.</w:t>
      </w:r>
    </w:p>
    <w:p w:rsidR="005E7217" w:rsidRPr="00C52CA4" w:rsidRDefault="00523FB6" w:rsidP="00C52CA4">
      <w:pPr>
        <w:pStyle w:val="Default"/>
        <w:numPr>
          <w:ilvl w:val="0"/>
          <w:numId w:val="25"/>
        </w:numPr>
        <w:tabs>
          <w:tab w:val="left" w:pos="360"/>
        </w:tabs>
        <w:spacing w:before="120" w:after="120"/>
        <w:ind w:left="360"/>
        <w:rPr>
          <w:sz w:val="20"/>
          <w:szCs w:val="20"/>
        </w:rPr>
      </w:pPr>
      <w:r>
        <w:rPr>
          <w:b/>
          <w:sz w:val="20"/>
        </w:rPr>
        <w:t xml:space="preserve">KOD DYSTRYBUCYJNY. </w:t>
      </w:r>
      <w:r>
        <w:rPr>
          <w:sz w:val="20"/>
        </w:rPr>
        <w:t xml:space="preserve">Licencjobiorca może rozpowszechniać w swoich aplikacjach kod zawarty w oprogramowaniu, zgodnie z postanowieniami niniejszej Sekcji. (Na potrzeby tego punktu termin </w:t>
      </w:r>
      <w:r>
        <w:rPr>
          <w:sz w:val="20"/>
          <w:cs/>
        </w:rPr>
        <w:t>„</w:t>
      </w:r>
      <w:r>
        <w:rPr>
          <w:sz w:val="20"/>
        </w:rPr>
        <w:t>rozpowszechnianie</w:t>
      </w:r>
      <w:r>
        <w:rPr>
          <w:sz w:val="20"/>
          <w:cs/>
        </w:rPr>
        <w:t xml:space="preserve">” </w:t>
      </w:r>
      <w:r>
        <w:rPr>
          <w:sz w:val="20"/>
        </w:rPr>
        <w:t>obejmuje również wdrażanie aplikacji Licencjobiorcy w celu udostępnienia ich w Internecie osobom trzecim).</w:t>
      </w:r>
    </w:p>
    <w:p w:rsidR="005E7217" w:rsidRPr="00C52CA4" w:rsidRDefault="00523FB6" w:rsidP="00C52CA4">
      <w:pPr>
        <w:pStyle w:val="Default"/>
        <w:numPr>
          <w:ilvl w:val="1"/>
          <w:numId w:val="25"/>
        </w:numPr>
        <w:tabs>
          <w:tab w:val="left" w:pos="720"/>
        </w:tabs>
        <w:spacing w:before="120" w:after="120"/>
        <w:ind w:left="720"/>
        <w:rPr>
          <w:sz w:val="20"/>
          <w:szCs w:val="20"/>
        </w:rPr>
      </w:pPr>
      <w:r>
        <w:rPr>
          <w:b/>
          <w:sz w:val="20"/>
        </w:rPr>
        <w:t>Prawa do używania i rozpowszechniania. </w:t>
      </w:r>
      <w:r>
        <w:rPr>
          <w:sz w:val="20"/>
        </w:rPr>
        <w:t>Poniższy kod i pliki tekstowe nazwane są</w:t>
      </w:r>
      <w:r>
        <w:rPr>
          <w:b/>
          <w:sz w:val="20"/>
        </w:rPr>
        <w:t> </w:t>
      </w:r>
      <w:r>
        <w:rPr>
          <w:b/>
          <w:sz w:val="20"/>
          <w:cs/>
        </w:rPr>
        <w:t>„</w:t>
      </w:r>
      <w:r>
        <w:rPr>
          <w:b/>
          <w:sz w:val="20"/>
        </w:rPr>
        <w:t>Kodem dystrybucyjnym</w:t>
      </w:r>
      <w:r>
        <w:rPr>
          <w:b/>
          <w:sz w:val="20"/>
          <w:cs/>
        </w:rPr>
        <w:t>”</w:t>
      </w:r>
      <w:r>
        <w:rPr>
          <w:b/>
          <w:sz w:val="20"/>
        </w:rPr>
        <w:t>.</w:t>
      </w:r>
    </w:p>
    <w:p w:rsidR="005E7217" w:rsidRPr="00C52CA4" w:rsidRDefault="00523FB6" w:rsidP="00C52CA4">
      <w:pPr>
        <w:pStyle w:val="Default"/>
        <w:numPr>
          <w:ilvl w:val="0"/>
          <w:numId w:val="20"/>
        </w:numPr>
        <w:tabs>
          <w:tab w:val="left" w:pos="1080"/>
        </w:tabs>
        <w:spacing w:before="120" w:after="120"/>
        <w:ind w:left="1080"/>
        <w:rPr>
          <w:sz w:val="20"/>
          <w:szCs w:val="20"/>
        </w:rPr>
      </w:pPr>
      <w:r>
        <w:rPr>
          <w:sz w:val="20"/>
          <w:u w:val="single"/>
        </w:rPr>
        <w:t xml:space="preserve">Pliki REDIST.TXT. </w:t>
      </w:r>
      <w:r>
        <w:rPr>
          <w:sz w:val="20"/>
        </w:rPr>
        <w:t>Licencjobiorca może kopiować i rozpowszechniać kod wynikowy znajdujący się na liście REDIST umieszczonej na stronie </w:t>
      </w:r>
      <w:hyperlink r:id="rId14" w:history="1">
        <w:r>
          <w:rPr>
            <w:rStyle w:val="Hyperlink"/>
            <w:sz w:val="20"/>
          </w:rPr>
          <w:t>https://go.microsoft.com/fwlink/?linkid=823097</w:t>
        </w:r>
      </w:hyperlink>
      <w:r>
        <w:rPr>
          <w:sz w:val="20"/>
        </w:rPr>
        <w:t>.</w:t>
      </w:r>
    </w:p>
    <w:p w:rsidR="0034315C" w:rsidRPr="00C52CA4" w:rsidRDefault="00523FB6" w:rsidP="00C52CA4">
      <w:pPr>
        <w:pStyle w:val="Default"/>
        <w:numPr>
          <w:ilvl w:val="0"/>
          <w:numId w:val="20"/>
        </w:numPr>
        <w:tabs>
          <w:tab w:val="left" w:pos="1080"/>
        </w:tabs>
        <w:spacing w:before="120" w:after="120"/>
        <w:ind w:left="1080"/>
        <w:rPr>
          <w:sz w:val="20"/>
          <w:szCs w:val="20"/>
        </w:rPr>
      </w:pPr>
      <w:r>
        <w:rPr>
          <w:sz w:val="20"/>
          <w:u w:val="single"/>
        </w:rPr>
        <w:t>Przykładowy kod i szablony</w:t>
      </w:r>
      <w:r>
        <w:rPr>
          <w:sz w:val="20"/>
        </w:rPr>
        <w:t>. Licencjobiorca może kopiować, modyfikować i rozpowszechniać w postaci źródłowej oraz w postaci kodu wynikowego kod oznaczony jako przykładowy (</w:t>
      </w:r>
      <w:r>
        <w:rPr>
          <w:sz w:val="20"/>
          <w:cs/>
        </w:rPr>
        <w:t>„</w:t>
      </w:r>
      <w:r>
        <w:rPr>
          <w:sz w:val="20"/>
        </w:rPr>
        <w:t>sample</w:t>
      </w:r>
      <w:r>
        <w:rPr>
          <w:sz w:val="20"/>
          <w:cs/>
        </w:rPr>
        <w:t>”</w:t>
      </w:r>
      <w:r>
        <w:rPr>
          <w:sz w:val="20"/>
        </w:rPr>
        <w:t>) lub jako szablon (</w:t>
      </w:r>
      <w:r>
        <w:rPr>
          <w:sz w:val="20"/>
          <w:cs/>
        </w:rPr>
        <w:t>„</w:t>
      </w:r>
      <w:r>
        <w:rPr>
          <w:sz w:val="20"/>
        </w:rPr>
        <w:t>template</w:t>
      </w:r>
      <w:r>
        <w:rPr>
          <w:sz w:val="20"/>
          <w:cs/>
        </w:rPr>
        <w:t>”</w:t>
      </w:r>
      <w:r>
        <w:rPr>
          <w:sz w:val="20"/>
        </w:rPr>
        <w:t>).</w:t>
      </w:r>
    </w:p>
    <w:p w:rsidR="0034315C" w:rsidRPr="00C52CA4" w:rsidRDefault="00523FB6" w:rsidP="00C52CA4">
      <w:pPr>
        <w:pStyle w:val="Default"/>
        <w:numPr>
          <w:ilvl w:val="0"/>
          <w:numId w:val="20"/>
        </w:numPr>
        <w:tabs>
          <w:tab w:val="left" w:pos="1080"/>
        </w:tabs>
        <w:spacing w:before="120" w:after="120"/>
        <w:ind w:left="1080"/>
        <w:rPr>
          <w:sz w:val="20"/>
          <w:szCs w:val="20"/>
        </w:rPr>
      </w:pPr>
      <w:r>
        <w:rPr>
          <w:sz w:val="20"/>
          <w:u w:val="single"/>
        </w:rPr>
        <w:t>Biblioteka obrazów</w:t>
      </w:r>
      <w:r>
        <w:rPr>
          <w:sz w:val="20"/>
        </w:rPr>
        <w:t>. Licencjobiorca może —</w:t>
      </w:r>
      <w:r>
        <w:rPr>
          <w:sz w:val="20"/>
          <w:cs/>
        </w:rPr>
        <w:t xml:space="preserve"> </w:t>
      </w:r>
      <w:r>
        <w:rPr>
          <w:sz w:val="20"/>
        </w:rPr>
        <w:t>zgodnie z opisem w dokumentacji oprogramowania —</w:t>
      </w:r>
      <w:r>
        <w:rPr>
          <w:sz w:val="20"/>
          <w:cs/>
        </w:rPr>
        <w:t xml:space="preserve"> </w:t>
      </w:r>
      <w:r>
        <w:rPr>
          <w:sz w:val="20"/>
        </w:rPr>
        <w:t>kopiować i rozpowszechniać obrazy, grafikę i animacje znajdujące się w Bibliotece Obrazów. </w:t>
      </w:r>
    </w:p>
    <w:p w:rsidR="005E7217" w:rsidRPr="00C52CA4" w:rsidRDefault="00523FB6" w:rsidP="00C52CA4">
      <w:pPr>
        <w:pStyle w:val="Default"/>
        <w:numPr>
          <w:ilvl w:val="0"/>
          <w:numId w:val="20"/>
        </w:numPr>
        <w:tabs>
          <w:tab w:val="left" w:pos="1080"/>
        </w:tabs>
        <w:spacing w:before="120" w:after="120"/>
        <w:ind w:left="1080"/>
        <w:rPr>
          <w:sz w:val="20"/>
          <w:szCs w:val="20"/>
        </w:rPr>
      </w:pPr>
      <w:r>
        <w:rPr>
          <w:sz w:val="20"/>
          <w:u w:val="single"/>
        </w:rPr>
        <w:t>Rozpowszechnianie przez osoby trzecie</w:t>
      </w:r>
      <w:r>
        <w:rPr>
          <w:sz w:val="20"/>
        </w:rPr>
        <w:t xml:space="preserve">. Licencjobiorca może zezwolić dystrybutorom swoich aplikacji na kopiowanie i rozpowszechnianie Kodu Dystrybucyjnego jako części tych aplikacji. </w:t>
      </w:r>
    </w:p>
    <w:p w:rsidR="005E7217" w:rsidRPr="00C52CA4" w:rsidRDefault="00523FB6" w:rsidP="00C52CA4">
      <w:pPr>
        <w:pStyle w:val="Default"/>
        <w:numPr>
          <w:ilvl w:val="1"/>
          <w:numId w:val="25"/>
        </w:numPr>
        <w:tabs>
          <w:tab w:val="left" w:pos="720"/>
        </w:tabs>
        <w:spacing w:before="120" w:after="120"/>
        <w:ind w:left="720"/>
        <w:rPr>
          <w:sz w:val="20"/>
          <w:szCs w:val="20"/>
        </w:rPr>
      </w:pPr>
      <w:r>
        <w:rPr>
          <w:b/>
          <w:sz w:val="20"/>
        </w:rPr>
        <w:t xml:space="preserve">Wymagania dotyczące rozpowszechniania. </w:t>
      </w:r>
      <w:r>
        <w:rPr>
          <w:sz w:val="20"/>
        </w:rPr>
        <w:t>W przypadku każdego rozpowszechnianego przez siebie Kodu dystrybucyjnego Licencjobiorca musi:</w:t>
      </w:r>
    </w:p>
    <w:p w:rsidR="005E7217" w:rsidRPr="00C52CA4" w:rsidRDefault="00523FB6" w:rsidP="00C52CA4">
      <w:pPr>
        <w:pStyle w:val="Default"/>
        <w:numPr>
          <w:ilvl w:val="0"/>
          <w:numId w:val="20"/>
        </w:numPr>
        <w:tabs>
          <w:tab w:val="left" w:pos="1080"/>
        </w:tabs>
        <w:spacing w:before="120" w:after="120"/>
        <w:ind w:left="1080"/>
        <w:rPr>
          <w:sz w:val="20"/>
          <w:szCs w:val="20"/>
        </w:rPr>
      </w:pPr>
      <w:r>
        <w:rPr>
          <w:sz w:val="20"/>
        </w:rPr>
        <w:t xml:space="preserve">dodawać do niego w swoich aplikacjach znaczące i podstawowe funkcje; </w:t>
      </w:r>
    </w:p>
    <w:p w:rsidR="005E7217" w:rsidRPr="00C52CA4" w:rsidRDefault="00523FB6" w:rsidP="00C52CA4">
      <w:pPr>
        <w:pStyle w:val="Default"/>
        <w:numPr>
          <w:ilvl w:val="0"/>
          <w:numId w:val="20"/>
        </w:numPr>
        <w:tabs>
          <w:tab w:val="left" w:pos="1080"/>
        </w:tabs>
        <w:spacing w:before="120" w:after="120"/>
        <w:ind w:left="1080"/>
        <w:rPr>
          <w:sz w:val="20"/>
          <w:szCs w:val="20"/>
        </w:rPr>
      </w:pPr>
      <w:r>
        <w:rPr>
          <w:sz w:val="20"/>
        </w:rPr>
        <w:t>wymagać od dystrybutorów oraz zewnętrznych użytkowników końcowych akceptacji postanowień chroniących Kod Dystrybucyjny w stopniu co najmniej równym ochronie zapewnionej na mocy niniejszych postanowień licencyjnych; oraz</w:t>
      </w:r>
    </w:p>
    <w:p w:rsidR="005E7217" w:rsidRPr="00C52CA4" w:rsidRDefault="00523FB6" w:rsidP="00C52CA4">
      <w:pPr>
        <w:pStyle w:val="Default"/>
        <w:numPr>
          <w:ilvl w:val="0"/>
          <w:numId w:val="20"/>
        </w:numPr>
        <w:tabs>
          <w:tab w:val="left" w:pos="1080"/>
        </w:tabs>
        <w:spacing w:before="120" w:after="120"/>
        <w:ind w:left="1080"/>
        <w:rPr>
          <w:sz w:val="20"/>
          <w:szCs w:val="20"/>
        </w:rPr>
      </w:pPr>
      <w:r>
        <w:rPr>
          <w:sz w:val="20"/>
        </w:rPr>
        <w:t>zwolnić Microsoft od wszelkiej odpowiedzialności, a także bronić Microsoft i naprawić wszelkie szkody powstałe w wyniku roszczeń wniesionych z tytułu rozpowszechniania lub używania programów Licencjobiorcy, z wyjątkiem zakresu, w którym podstawę roszczeń stanowi wyłącznie Kod Dystrybucyjny.</w:t>
      </w:r>
    </w:p>
    <w:p w:rsidR="005E7217" w:rsidRPr="00C52CA4" w:rsidRDefault="00523FB6" w:rsidP="00C52CA4">
      <w:pPr>
        <w:pStyle w:val="Default"/>
        <w:numPr>
          <w:ilvl w:val="1"/>
          <w:numId w:val="25"/>
        </w:numPr>
        <w:tabs>
          <w:tab w:val="left" w:pos="720"/>
        </w:tabs>
        <w:spacing w:before="120" w:after="120"/>
        <w:ind w:left="720"/>
        <w:rPr>
          <w:sz w:val="20"/>
          <w:szCs w:val="20"/>
        </w:rPr>
      </w:pPr>
      <w:r>
        <w:rPr>
          <w:b/>
          <w:sz w:val="20"/>
        </w:rPr>
        <w:t>Ograniczenia dotyczące rozpowszechniania.</w:t>
      </w:r>
      <w:r>
        <w:rPr>
          <w:sz w:val="20"/>
        </w:rPr>
        <w:t xml:space="preserve"> Licencjobiorcy nie wolno:</w:t>
      </w:r>
    </w:p>
    <w:p w:rsidR="005E7217" w:rsidRPr="00C52CA4" w:rsidRDefault="00523FB6" w:rsidP="00C52CA4">
      <w:pPr>
        <w:pStyle w:val="Default"/>
        <w:numPr>
          <w:ilvl w:val="0"/>
          <w:numId w:val="20"/>
        </w:numPr>
        <w:tabs>
          <w:tab w:val="left" w:pos="1080"/>
        </w:tabs>
        <w:spacing w:before="120" w:after="120"/>
        <w:ind w:left="1080"/>
        <w:rPr>
          <w:sz w:val="20"/>
          <w:szCs w:val="20"/>
        </w:rPr>
      </w:pPr>
      <w:r>
        <w:rPr>
          <w:sz w:val="20"/>
        </w:rPr>
        <w:t>używać znaków towarowych Microsoft w nazwach swoich aplikacji lub w sposób sugerujący, że aplikacje Licencjobiorcy zostały wyprodukowane przez Microsoft lub są przez Microsoft promowane; lub</w:t>
      </w:r>
    </w:p>
    <w:p w:rsidR="005E7217" w:rsidRPr="00C52CA4" w:rsidRDefault="00523FB6" w:rsidP="00C52CA4">
      <w:pPr>
        <w:pStyle w:val="Default"/>
        <w:numPr>
          <w:ilvl w:val="0"/>
          <w:numId w:val="20"/>
        </w:numPr>
        <w:tabs>
          <w:tab w:val="left" w:pos="1080"/>
        </w:tabs>
        <w:spacing w:before="120" w:after="120"/>
        <w:ind w:left="1080"/>
        <w:rPr>
          <w:sz w:val="20"/>
          <w:szCs w:val="20"/>
        </w:rPr>
      </w:pPr>
      <w:r>
        <w:rPr>
          <w:sz w:val="20"/>
        </w:rPr>
        <w:lastRenderedPageBreak/>
        <w:t xml:space="preserve">modyfikować ani rozpowszechniać kodu źródłowego żadnego Kodu Dystrybucyjnego w taki sposób, aby jakakolwiek jego część podlegała Licencji Wyłączającej. </w:t>
      </w:r>
      <w:r>
        <w:rPr>
          <w:sz w:val="20"/>
          <w:cs/>
        </w:rPr>
        <w:t>„</w:t>
      </w:r>
      <w:r>
        <w:rPr>
          <w:sz w:val="20"/>
        </w:rPr>
        <w:t>Licencja Wyłączająca</w:t>
      </w:r>
      <w:r>
        <w:rPr>
          <w:sz w:val="20"/>
          <w:cs/>
        </w:rPr>
        <w:t xml:space="preserve">” </w:t>
      </w:r>
      <w:r>
        <w:rPr>
          <w:sz w:val="20"/>
        </w:rPr>
        <w:t>to licencja, w której przypadku używanie, modyfikowanie lub rozpowszechnianie wymaga, aby (i) kod był jawny lub rozpowszechniany w postaci kodu źródłowego; lub (ii) inne osoby były uprawnione do modyfikowania takiego kodu.</w:t>
      </w:r>
    </w:p>
    <w:p w:rsidR="003B27BE" w:rsidRDefault="00523FB6" w:rsidP="00C52CA4">
      <w:pPr>
        <w:pStyle w:val="Default"/>
        <w:numPr>
          <w:ilvl w:val="0"/>
          <w:numId w:val="25"/>
        </w:numPr>
        <w:tabs>
          <w:tab w:val="left" w:pos="360"/>
        </w:tabs>
        <w:spacing w:before="120" w:after="120"/>
        <w:ind w:left="360"/>
        <w:rPr>
          <w:sz w:val="20"/>
          <w:szCs w:val="20"/>
        </w:rPr>
      </w:pPr>
      <w:r>
        <w:rPr>
          <w:b/>
          <w:sz w:val="20"/>
        </w:rPr>
        <w:t xml:space="preserve">DANE. </w:t>
      </w:r>
    </w:p>
    <w:p w:rsidR="005E7217" w:rsidRDefault="00523FB6" w:rsidP="00143E32">
      <w:pPr>
        <w:pStyle w:val="Default"/>
        <w:numPr>
          <w:ilvl w:val="1"/>
          <w:numId w:val="25"/>
        </w:numPr>
        <w:tabs>
          <w:tab w:val="left" w:pos="720"/>
        </w:tabs>
        <w:spacing w:before="120" w:after="120"/>
        <w:rPr>
          <w:sz w:val="20"/>
          <w:szCs w:val="20"/>
        </w:rPr>
      </w:pPr>
      <w:r>
        <w:rPr>
          <w:b/>
          <w:sz w:val="20"/>
        </w:rPr>
        <w:t>Zbieranie danych</w:t>
      </w:r>
      <w:r>
        <w:rPr>
          <w:sz w:val="20"/>
        </w:rPr>
        <w:t xml:space="preserve">. Oprogramowanie może zbierać informacje o Licencjobiorcy i sposobie, w jaki używa on oprogramowania, a także przesyłać takie informacje do Microsoft i podmiotów stowarzyszonych Microsoft. Microsoft i podmioty stowarzyszone Microsoft mogą używać tych informacji w celach świadczenia usług oraz ulepszenia swoich produktów i usług. Licencjobiorca może zrezygnować z wielu scenariuszy (ale nie wszystkich), jak opisano w dokumentacji produktu. </w:t>
      </w:r>
      <w:r>
        <w:rPr>
          <w:color w:val="000000"/>
          <w:sz w:val="20"/>
        </w:rPr>
        <w:t>Istnieją również pewne funkcje oprogramowania, które mogą umożliwić Licencjobiorcy i Microsoft zbierać dane od użytkowników aplikacji. Jeśli Licencjobiorca używa tych funkcji, musi przestrzegać przepisów prawa właściwego, w tym stosownie powiadamiać użytkowników aplikacji Licencjobiorcy o tych działaniach oraz udostępniać im kopię przyjętego przez Microsoft oświadczenia o ochronie prywatności. Polityka prywatności Microsoft znajduje się na stronie</w:t>
      </w:r>
      <w:r>
        <w:rPr>
          <w:rStyle w:val="Hyperlink"/>
          <w:sz w:val="20"/>
        </w:rPr>
        <w:t>http://go.microsoft.com/fwlink/?LinkID=528096&amp;clcid=0x409</w:t>
      </w:r>
      <w:r>
        <w:rPr>
          <w:sz w:val="20"/>
        </w:rPr>
        <w:t>. Więcej informacji na temat zbierania i używania danych można znaleźć w dokumentacji pomocy i oświadczeniu Microsoft o ochronie prywatności. Używanie przez Licencjobiorcę oprogramowania oznacza zgodę Licencjobiorcy na takie działania.</w:t>
      </w:r>
    </w:p>
    <w:p w:rsidR="003B27BE" w:rsidRPr="00493EDA" w:rsidRDefault="00523FB6" w:rsidP="00493EDA">
      <w:pPr>
        <w:pStyle w:val="Default"/>
        <w:numPr>
          <w:ilvl w:val="1"/>
          <w:numId w:val="25"/>
        </w:numPr>
        <w:tabs>
          <w:tab w:val="left" w:pos="720"/>
        </w:tabs>
        <w:spacing w:before="120" w:after="120"/>
        <w:ind w:left="720"/>
        <w:rPr>
          <w:sz w:val="20"/>
          <w:szCs w:val="20"/>
        </w:rPr>
      </w:pPr>
      <w:r>
        <w:rPr>
          <w:b/>
          <w:sz w:val="20"/>
        </w:rPr>
        <w:t>Przetwarzanie danych osobowych.</w:t>
      </w:r>
      <w:r>
        <w:rPr>
          <w:sz w:val="20"/>
        </w:rPr>
        <w:t xml:space="preserve"> W zakresie, w jakim Microsoft jest podmiotem przetwarzającym lub wtórnie przetwarzającym dane osobowe w związku z oprogramowaniem, Microsoft zobowiązuje się do przestrzegania Ogólnego rozporządzenia o ochronie danych Unii Europejskiej zawartych w Warunkach usług internetowych dla wszystkich klientów z datą 25 maja 2018 r., dostępnych na stronie http://go.microsoft.com/?linkid=9840733.</w:t>
      </w:r>
    </w:p>
    <w:p w:rsidR="005E7217" w:rsidRPr="00C52CA4" w:rsidRDefault="00523FB6" w:rsidP="00C52CA4">
      <w:pPr>
        <w:pStyle w:val="Default"/>
        <w:numPr>
          <w:ilvl w:val="0"/>
          <w:numId w:val="25"/>
        </w:numPr>
        <w:tabs>
          <w:tab w:val="left" w:pos="360"/>
        </w:tabs>
        <w:spacing w:before="120" w:after="120"/>
        <w:ind w:left="360"/>
        <w:rPr>
          <w:sz w:val="20"/>
          <w:szCs w:val="20"/>
        </w:rPr>
      </w:pPr>
      <w:r>
        <w:rPr>
          <w:b/>
          <w:sz w:val="20"/>
        </w:rPr>
        <w:t xml:space="preserve">ZAKRES LICENCJI. </w:t>
      </w:r>
      <w:r>
        <w:rPr>
          <w:sz w:val="20"/>
        </w:rPr>
        <w:t>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Licencjobiorcy nie wolno:</w:t>
      </w:r>
    </w:p>
    <w:p w:rsidR="005E7217" w:rsidRPr="00C52CA4" w:rsidRDefault="00523FB6" w:rsidP="00C52CA4">
      <w:pPr>
        <w:pStyle w:val="Default"/>
        <w:numPr>
          <w:ilvl w:val="0"/>
          <w:numId w:val="22"/>
        </w:numPr>
        <w:tabs>
          <w:tab w:val="left" w:pos="720"/>
        </w:tabs>
        <w:spacing w:before="120" w:after="120"/>
        <w:ind w:left="720"/>
        <w:rPr>
          <w:sz w:val="20"/>
          <w:szCs w:val="20"/>
        </w:rPr>
      </w:pPr>
      <w:r>
        <w:rPr>
          <w:sz w:val="20"/>
        </w:rPr>
        <w:t>obchodzić ograniczeń technicznych oprogramowania;</w:t>
      </w:r>
    </w:p>
    <w:p w:rsidR="005E7217" w:rsidRPr="00C52CA4" w:rsidRDefault="00523FB6" w:rsidP="00C52CA4">
      <w:pPr>
        <w:pStyle w:val="Default"/>
        <w:numPr>
          <w:ilvl w:val="0"/>
          <w:numId w:val="22"/>
        </w:numPr>
        <w:tabs>
          <w:tab w:val="left" w:pos="720"/>
        </w:tabs>
        <w:spacing w:before="120" w:after="120"/>
        <w:ind w:left="720"/>
        <w:rPr>
          <w:sz w:val="20"/>
          <w:szCs w:val="20"/>
        </w:rPr>
      </w:pPr>
      <w:r>
        <w:rPr>
          <w:sz w:val="20"/>
        </w:rPr>
        <w:t>odtwarzać, dekompilować ani deasemblować oprogramowania, ani w inny sposób podejmować prób pozyskania kodu źródłowego z oprogramowania, chyba że w przypadku i tylko w takim zakresie, w jakim jest to wymagane na mocy określonych przez osoby trzecie postanowień licencyjnych mających zastosowanie do używania określonych składników podlegających licencji open source, które mogą być dołączone do oprogramowania;</w:t>
      </w:r>
    </w:p>
    <w:p w:rsidR="005E7217" w:rsidRPr="00C52CA4" w:rsidRDefault="00523FB6" w:rsidP="00C52CA4">
      <w:pPr>
        <w:pStyle w:val="Default"/>
        <w:numPr>
          <w:ilvl w:val="0"/>
          <w:numId w:val="22"/>
        </w:numPr>
        <w:tabs>
          <w:tab w:val="left" w:pos="720"/>
        </w:tabs>
        <w:spacing w:before="120" w:after="120"/>
        <w:ind w:left="720"/>
        <w:rPr>
          <w:sz w:val="20"/>
          <w:szCs w:val="20"/>
        </w:rPr>
      </w:pPr>
      <w:r>
        <w:rPr>
          <w:sz w:val="20"/>
        </w:rPr>
        <w:t>usuwać, minimalizować, blokować ani modyfikować żadnych umieszczonych w oprogramowaniu powiadomień Microsoft ani dostawców Microsoft;</w:t>
      </w:r>
    </w:p>
    <w:p w:rsidR="005E7217" w:rsidRPr="00C52CA4" w:rsidRDefault="00523FB6" w:rsidP="00C52CA4">
      <w:pPr>
        <w:pStyle w:val="Default"/>
        <w:numPr>
          <w:ilvl w:val="0"/>
          <w:numId w:val="22"/>
        </w:numPr>
        <w:tabs>
          <w:tab w:val="left" w:pos="720"/>
        </w:tabs>
        <w:spacing w:before="120" w:after="120"/>
        <w:ind w:left="720"/>
        <w:rPr>
          <w:sz w:val="20"/>
          <w:szCs w:val="20"/>
        </w:rPr>
      </w:pPr>
      <w:r>
        <w:rPr>
          <w:sz w:val="20"/>
        </w:rPr>
        <w:t>używać oprogramowania w sposób niezgodny z prawem lub</w:t>
      </w:r>
    </w:p>
    <w:p w:rsidR="005E7217" w:rsidRPr="00C52CA4" w:rsidRDefault="00523FB6" w:rsidP="00C52CA4">
      <w:pPr>
        <w:pStyle w:val="Default"/>
        <w:numPr>
          <w:ilvl w:val="0"/>
          <w:numId w:val="22"/>
        </w:numPr>
        <w:tabs>
          <w:tab w:val="left" w:pos="720"/>
        </w:tabs>
        <w:spacing w:before="120" w:after="120"/>
        <w:ind w:left="720"/>
        <w:rPr>
          <w:sz w:val="20"/>
          <w:szCs w:val="20"/>
        </w:rPr>
      </w:pPr>
      <w:r>
        <w:rPr>
          <w:sz w:val="20"/>
        </w:rPr>
        <w:t xml:space="preserve">udostępniać, publikować, pożyczać ani wydzierżawiać oprogramowania, dostarczać go w postaci </w:t>
      </w:r>
      <w:r>
        <w:rPr>
          <w:sz w:val="20"/>
        </w:rPr>
        <w:lastRenderedPageBreak/>
        <w:t>samodzielnego rozwiązania w celu używania go przez inne osoby.</w:t>
      </w:r>
    </w:p>
    <w:p w:rsidR="005E7217" w:rsidRPr="00C52CA4" w:rsidRDefault="00523FB6" w:rsidP="00C52CA4">
      <w:pPr>
        <w:pStyle w:val="Default"/>
        <w:numPr>
          <w:ilvl w:val="0"/>
          <w:numId w:val="25"/>
        </w:numPr>
        <w:tabs>
          <w:tab w:val="left" w:pos="360"/>
        </w:tabs>
        <w:spacing w:before="120" w:after="120"/>
        <w:ind w:left="360"/>
        <w:rPr>
          <w:sz w:val="20"/>
          <w:szCs w:val="20"/>
        </w:rPr>
      </w:pPr>
      <w:r>
        <w:rPr>
          <w:b/>
          <w:sz w:val="20"/>
        </w:rPr>
        <w:t xml:space="preserve">OGRANICZENIA EKSPORTOWE. </w:t>
      </w:r>
      <w:r>
        <w:rPr>
          <w:sz w:val="20"/>
        </w:rPr>
        <w:t>Licencjobiorca musi przestrzegać wszelkich krajowych i międzynarodowych przepisów prawa eksportowego mających zastosowanie do oprogramowania, które obejmują ograniczenia dotyczące kraju przeznaczenia, użytkowników końcowych i końcowego użycia. Więcej informacji na temat ograniczeń eksportowych na stronie</w:t>
      </w:r>
      <w:hyperlink r:id="rId15" w:history="1">
        <w:r>
          <w:rPr>
            <w:rStyle w:val="Hyperlink"/>
            <w:sz w:val="20"/>
          </w:rPr>
          <w:t>www.microsoft.com/exporting</w:t>
        </w:r>
      </w:hyperlink>
      <w:r>
        <w:rPr>
          <w:sz w:val="20"/>
        </w:rPr>
        <w:t>.</w:t>
      </w:r>
    </w:p>
    <w:p w:rsidR="005E7217" w:rsidRPr="00C52CA4" w:rsidRDefault="00523FB6" w:rsidP="00C52CA4">
      <w:pPr>
        <w:pStyle w:val="Default"/>
        <w:numPr>
          <w:ilvl w:val="0"/>
          <w:numId w:val="25"/>
        </w:numPr>
        <w:tabs>
          <w:tab w:val="left" w:pos="360"/>
        </w:tabs>
        <w:spacing w:before="120" w:after="120"/>
        <w:ind w:left="360"/>
        <w:rPr>
          <w:sz w:val="20"/>
          <w:szCs w:val="20"/>
        </w:rPr>
      </w:pPr>
      <w:r>
        <w:rPr>
          <w:b/>
          <w:sz w:val="20"/>
        </w:rPr>
        <w:t xml:space="preserve">CAŁOŚĆ UMOWY. </w:t>
      </w:r>
      <w:r>
        <w:rPr>
          <w:sz w:val="20"/>
        </w:rPr>
        <w:t>Niniejsza umowa (w tym powyższa gwarancja) oraz warunki dodatków, aktualizacji, usług internetowych oraz wsparcia stanowią całość umowy dotyczącą oprogramowania i usług wsparcia.</w:t>
      </w:r>
    </w:p>
    <w:p w:rsidR="005E7217" w:rsidRPr="00C52CA4" w:rsidRDefault="00523FB6" w:rsidP="00C52CA4">
      <w:pPr>
        <w:pStyle w:val="Default"/>
        <w:numPr>
          <w:ilvl w:val="0"/>
          <w:numId w:val="25"/>
        </w:numPr>
        <w:tabs>
          <w:tab w:val="left" w:pos="360"/>
        </w:tabs>
        <w:spacing w:before="120" w:after="120"/>
        <w:ind w:left="360"/>
        <w:rPr>
          <w:sz w:val="20"/>
          <w:szCs w:val="20"/>
        </w:rPr>
      </w:pPr>
      <w:r>
        <w:rPr>
          <w:b/>
          <w:sz w:val="20"/>
        </w:rPr>
        <w:t xml:space="preserve">PRAWO WŁAŚCIWE </w:t>
      </w:r>
      <w:r>
        <w:rPr>
          <w:sz w:val="20"/>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rsidR="005E7217" w:rsidRPr="00C52CA4" w:rsidRDefault="00523FB6" w:rsidP="00C52CA4">
      <w:pPr>
        <w:pStyle w:val="Default"/>
        <w:numPr>
          <w:ilvl w:val="0"/>
          <w:numId w:val="25"/>
        </w:numPr>
        <w:tabs>
          <w:tab w:val="left" w:pos="360"/>
        </w:tabs>
        <w:spacing w:before="120" w:after="120"/>
        <w:ind w:left="360"/>
        <w:rPr>
          <w:sz w:val="20"/>
          <w:szCs w:val="20"/>
        </w:rPr>
      </w:pPr>
      <w:r>
        <w:rPr>
          <w:b/>
          <w:sz w:val="20"/>
        </w:rPr>
        <w:t>PRAWA KONSUMENTA —</w:t>
      </w:r>
      <w:r>
        <w:rPr>
          <w:b/>
          <w:sz w:val="20"/>
          <w:cs/>
        </w:rPr>
        <w:t xml:space="preserve"> </w:t>
      </w:r>
      <w:r>
        <w:rPr>
          <w:b/>
          <w:sz w:val="20"/>
        </w:rPr>
        <w:t xml:space="preserve">RÓŻNICE REGIONALNE. </w:t>
      </w:r>
      <w:r>
        <w:rPr>
          <w:sz w:val="20"/>
        </w:rPr>
        <w:t>W niniejszej umowie zostały przedstawione niektóre z praw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rsidR="005E7217" w:rsidRPr="00C52CA4" w:rsidRDefault="00523FB6" w:rsidP="00C52CA4">
      <w:pPr>
        <w:pStyle w:val="Default"/>
        <w:numPr>
          <w:ilvl w:val="1"/>
          <w:numId w:val="25"/>
        </w:numPr>
        <w:tabs>
          <w:tab w:val="left" w:pos="720"/>
        </w:tabs>
        <w:spacing w:before="120" w:after="120"/>
        <w:ind w:left="720"/>
        <w:rPr>
          <w:sz w:val="20"/>
          <w:szCs w:val="20"/>
        </w:rPr>
      </w:pPr>
      <w:r>
        <w:rPr>
          <w:b/>
          <w:sz w:val="20"/>
        </w:rPr>
        <w:t xml:space="preserve">Australia. </w:t>
      </w:r>
      <w:r>
        <w:rPr>
          <w:sz w:val="20"/>
        </w:rPr>
        <w:t xml:space="preserve">Odniesienia do </w:t>
      </w:r>
      <w:r>
        <w:rPr>
          <w:sz w:val="20"/>
          <w:cs/>
        </w:rPr>
        <w:t>„</w:t>
      </w:r>
      <w:r>
        <w:rPr>
          <w:sz w:val="20"/>
        </w:rPr>
        <w:t>ograniczonej rękojmi</w:t>
      </w:r>
      <w:r>
        <w:rPr>
          <w:sz w:val="20"/>
          <w:cs/>
        </w:rPr>
        <w:t xml:space="preserve">” </w:t>
      </w:r>
      <w:r>
        <w:rPr>
          <w:sz w:val="20"/>
        </w:rPr>
        <w:t>stanowią odniesienia do wyraźnie określonej rękojmi udzielanej przez Microsoft, producenta lub osobę bądź firmę instalującą oprogramowanie. Gwarancja ta uzupełnia inne prawa i uprawnienia przysługujące Licencjobiorcy na mocy przepisów prawa, łącznie z jego prawami i uprawnieniami wynikającymi z australijskiej ustawy o ochronie konsumentów.</w:t>
      </w:r>
    </w:p>
    <w:p w:rsidR="005E7217" w:rsidRPr="00C52CA4" w:rsidRDefault="00523FB6" w:rsidP="00C52CA4">
      <w:pPr>
        <w:pStyle w:val="Default"/>
        <w:spacing w:before="120" w:after="120"/>
        <w:ind w:left="720"/>
        <w:rPr>
          <w:sz w:val="20"/>
          <w:szCs w:val="20"/>
        </w:rPr>
      </w:pPr>
      <w:r>
        <w:rPr>
          <w:sz w:val="20"/>
        </w:rPr>
        <w:t xml:space="preserve">W niniejszej sekcji, </w:t>
      </w:r>
      <w:r>
        <w:rPr>
          <w:sz w:val="20"/>
          <w:cs/>
        </w:rPr>
        <w:t>„</w:t>
      </w:r>
      <w:r>
        <w:rPr>
          <w:sz w:val="20"/>
        </w:rPr>
        <w:t>produkty</w:t>
      </w:r>
      <w:r>
        <w:rPr>
          <w:sz w:val="20"/>
          <w:cs/>
        </w:rPr>
        <w:t xml:space="preserve">” </w:t>
      </w:r>
      <w:r>
        <w:rPr>
          <w:sz w:val="20"/>
        </w:rPr>
        <w:t>oznaczają oprogramowanie, na które Microsoft lub producent lub firma instalująca udziela wyraźną gwarancję. Produkty Microsoft są objęte gwarancją, której zgodnie z obowiązującym w Australii prawem konsumenckim nie można wyłączyć. Licencjobiorca ma prawo do wymiany towarów lub zwrotu kosztów w przypadku poważnej awarii oraz odszkodowania z tytułu wszelkich innych strat lub szkód, które są odpowiednio możliwe do przewidzenia. Licencjobiorca ma również prawo do skorzystania z naprawy lub wymiany towarów, jeśli jakość towarów nie jest akceptowalna, a awaria nie jest równoznaczna z poważną awarią.</w:t>
      </w:r>
    </w:p>
    <w:p w:rsidR="005E7217" w:rsidRPr="00C52CA4" w:rsidRDefault="00523FB6" w:rsidP="00C52CA4">
      <w:pPr>
        <w:pStyle w:val="Default"/>
        <w:numPr>
          <w:ilvl w:val="1"/>
          <w:numId w:val="25"/>
        </w:numPr>
        <w:tabs>
          <w:tab w:val="left" w:pos="720"/>
        </w:tabs>
        <w:spacing w:before="120" w:after="120"/>
        <w:ind w:left="720"/>
        <w:rPr>
          <w:sz w:val="20"/>
          <w:szCs w:val="20"/>
        </w:rPr>
      </w:pPr>
      <w:r>
        <w:rPr>
          <w:b/>
          <w:sz w:val="20"/>
        </w:rPr>
        <w:t>Kanada.</w:t>
      </w:r>
      <w:r>
        <w:rPr>
          <w:sz w:val="20"/>
        </w:rPr>
        <w:t xml:space="preserve"> 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rsidR="005E7217" w:rsidRPr="00C52CA4" w:rsidRDefault="00523FB6" w:rsidP="00C52CA4">
      <w:pPr>
        <w:pStyle w:val="Default"/>
        <w:numPr>
          <w:ilvl w:val="1"/>
          <w:numId w:val="25"/>
        </w:numPr>
        <w:tabs>
          <w:tab w:val="left" w:pos="720"/>
        </w:tabs>
        <w:spacing w:before="120" w:after="120"/>
        <w:ind w:left="720"/>
        <w:rPr>
          <w:sz w:val="20"/>
          <w:szCs w:val="20"/>
        </w:rPr>
      </w:pPr>
      <w:r>
        <w:rPr>
          <w:b/>
          <w:sz w:val="20"/>
        </w:rPr>
        <w:t>Niemcy i Austria.</w:t>
      </w:r>
    </w:p>
    <w:p w:rsidR="005E7217" w:rsidRPr="00C52CA4" w:rsidRDefault="00523FB6" w:rsidP="00C52CA4">
      <w:pPr>
        <w:pStyle w:val="ListParagraph"/>
        <w:numPr>
          <w:ilvl w:val="0"/>
          <w:numId w:val="26"/>
        </w:numPr>
        <w:tabs>
          <w:tab w:val="left" w:pos="1080"/>
        </w:tabs>
        <w:spacing w:before="120" w:after="120" w:line="240" w:lineRule="auto"/>
        <w:ind w:left="1080"/>
        <w:rPr>
          <w:rFonts w:ascii="Tahoma" w:hAnsi="Tahoma" w:cs="Tahoma"/>
          <w:sz w:val="20"/>
          <w:szCs w:val="20"/>
        </w:rPr>
      </w:pPr>
      <w:r>
        <w:rPr>
          <w:rFonts w:ascii="Tahoma" w:hAnsi="Tahoma"/>
          <w:b/>
          <w:sz w:val="20"/>
        </w:rPr>
        <w:lastRenderedPageBreak/>
        <w:t>Gwarancja</w:t>
      </w:r>
      <w:r>
        <w:rPr>
          <w:rFonts w:ascii="Tahoma" w:hAnsi="Tahoma"/>
          <w:sz w:val="20"/>
        </w:rPr>
        <w:t>. Oprogramowanie objęte właściwą licencją będzie działać zasadniczo zgodnie z opisem znajdującym się we wszelkich materiałach Microsoft towarzyszących oprogramowaniu. Jednakże Microsoft nie udziela żadnych innych umownych gwarancji i zapewnień dotyczących licencjonowanego oprogramowania.</w:t>
      </w:r>
    </w:p>
    <w:p w:rsidR="005E7217" w:rsidRPr="00C52CA4" w:rsidRDefault="00523FB6" w:rsidP="00C52CA4">
      <w:pPr>
        <w:pStyle w:val="ListParagraph"/>
        <w:numPr>
          <w:ilvl w:val="0"/>
          <w:numId w:val="26"/>
        </w:numPr>
        <w:tabs>
          <w:tab w:val="left" w:pos="1080"/>
        </w:tabs>
        <w:spacing w:before="120" w:after="120" w:line="240" w:lineRule="auto"/>
        <w:ind w:left="1080"/>
        <w:rPr>
          <w:rFonts w:ascii="Tahoma" w:hAnsi="Tahoma" w:cs="Tahoma"/>
          <w:sz w:val="20"/>
          <w:szCs w:val="20"/>
        </w:rPr>
      </w:pPr>
      <w:r>
        <w:rPr>
          <w:rFonts w:ascii="Tahoma" w:hAnsi="Tahoma"/>
          <w:b/>
          <w:sz w:val="20"/>
        </w:rPr>
        <w:t>Ograniczenie odpowiedzialności</w:t>
      </w:r>
      <w:r>
        <w:rPr>
          <w:rFonts w:ascii="Tahoma" w:hAnsi="Tahoma"/>
          <w:sz w:val="20"/>
        </w:rPr>
        <w:t>. W przypadku umyślnego działania, rażącego niedbalstwa, roszczeń opartych na ustawie o odpowiedzialności za produkt oraz w przypadku śmierci lub uszczerbku na zdrowiu Microsoft ponosi odpowiedzialność zgodnie z przepisami bezwzględnie obowiązującymi.</w:t>
      </w:r>
    </w:p>
    <w:p w:rsidR="005E7217" w:rsidRPr="00C52CA4" w:rsidRDefault="00523FB6" w:rsidP="00C52CA4">
      <w:pPr>
        <w:pStyle w:val="Default"/>
        <w:spacing w:before="120" w:after="120"/>
        <w:ind w:left="717"/>
        <w:rPr>
          <w:sz w:val="20"/>
          <w:szCs w:val="20"/>
        </w:rPr>
      </w:pPr>
      <w:r>
        <w:rPr>
          <w:sz w:val="20"/>
        </w:rPr>
        <w:t>Z zastrzeżeniem postanowień zawartych w powyższym podpunkcie (ii) Microsoft ponosi odpowiedzialność jedynie z tytułu nieznacznego zaniedbania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rsidR="005E7217" w:rsidRPr="00C52CA4" w:rsidRDefault="00523FB6" w:rsidP="00C52CA4">
      <w:pPr>
        <w:pStyle w:val="Default"/>
        <w:numPr>
          <w:ilvl w:val="0"/>
          <w:numId w:val="25"/>
        </w:numPr>
        <w:tabs>
          <w:tab w:val="left" w:pos="360"/>
        </w:tabs>
        <w:spacing w:before="120" w:after="120"/>
        <w:ind w:left="360"/>
        <w:rPr>
          <w:sz w:val="20"/>
          <w:szCs w:val="20"/>
        </w:rPr>
      </w:pPr>
      <w:r>
        <w:rPr>
          <w:b/>
          <w:sz w:val="20"/>
        </w:rPr>
        <w:t>OGRANICZENIE I WYŁĄCZENIE ODPOWIEDZIALNOŚCI ZA SZKODY. LICENCJOBIORCA MOŻE UZYSKAĆ OD MICROSOFT I DOSTAWCÓW MICROSOFT WYŁĄCZNIE ODSZKODOWANIE ZA SZKODY BEZPOŚREDNIE DO WYSOKOŚCI WIĘKSZEJ Z NASTĘPUJĄCYCH KWOT: KWOTY ZAPŁACONEJ PRZEZ LICENCJOBIORCĘ ZA OPROGRAMOWANIE ALBO 5,00 USD. LICENCJOBIORCA NIE MOŻE DOCHODZIĆ ROSZCZEŃ Z TYTUŁU ŻADNYCH INNYCH SZKÓD, W TYM SZKÓD WYNIKAJĄCYCH Z UTRATY ZYSKÓW, SZKÓD WTÓRNYCH, SZKÓD SZCZEGÓLNYCH, SZKÓD POŚREDNICH ANI SZKÓD UBOCZNYCH.</w:t>
      </w:r>
    </w:p>
    <w:p w:rsidR="005E7217" w:rsidRPr="00C52CA4" w:rsidRDefault="00523FB6" w:rsidP="00C52CA4">
      <w:pPr>
        <w:pStyle w:val="Heading1"/>
        <w:spacing w:before="120" w:after="120"/>
        <w:ind w:left="360" w:hanging="3"/>
        <w:rPr>
          <w:sz w:val="20"/>
          <w:szCs w:val="20"/>
        </w:rPr>
      </w:pPr>
      <w:r>
        <w:rPr>
          <w:sz w:val="20"/>
        </w:rPr>
        <w:t>Ograniczenie to ma zastosowanie w przypadku (a) wszelkich kwestii dotyczących oprogramowania, usług, treści (w tym kodu) udostępnianych na stronach internetowych osób trzecich lub aplikacji osób trzecich, a także (b) w przypadku roszczeń z tytułu naruszenia umowy, rękojmi bądź gwarancji, złożonych zapewnień, odpowiedzialności obiektywnej bądź niedbalstwa lub czynu niedozwolonego w zakresie dozwolonym przez prawo właściwe.</w:t>
      </w:r>
    </w:p>
    <w:p w:rsidR="005E7217" w:rsidRPr="00C52CA4" w:rsidRDefault="00523FB6" w:rsidP="00C52CA4">
      <w:pPr>
        <w:pStyle w:val="Heading1"/>
        <w:spacing w:before="120" w:after="120"/>
        <w:ind w:left="360" w:hanging="3"/>
        <w:rPr>
          <w:sz w:val="20"/>
          <w:szCs w:val="20"/>
        </w:rPr>
      </w:pPr>
      <w:r>
        <w:rPr>
          <w:sz w:val="20"/>
        </w:rPr>
        <w:t>Ograniczenie to ma zastosowanie także w przypadku, gdy spółka Microsoft wiedziała lub powinna była wiedzieć o możliwości powstania takich szkód. Powyższe ograniczenie i wyłączenie mogą nie dotyczyć Licencjobiorcy w przypadku, gdy na mocy prawa krajowego lub stanowego nie jest dozwolone wyłączenie ani ograniczenie odpowiedzialności za szkody uboczne, wtórne itp.</w:t>
      </w:r>
    </w:p>
    <w:p w:rsidR="000A129C" w:rsidRPr="00C52CA4" w:rsidRDefault="000A129C" w:rsidP="00C52CA4">
      <w:pPr>
        <w:pStyle w:val="Heading1"/>
        <w:spacing w:before="120" w:after="120"/>
        <w:ind w:left="360" w:hanging="3"/>
        <w:rPr>
          <w:sz w:val="20"/>
          <w:szCs w:val="20"/>
        </w:rPr>
      </w:pPr>
    </w:p>
    <w:p w:rsidR="005E7217" w:rsidRPr="00C52CA4" w:rsidRDefault="00523FB6" w:rsidP="00C52CA4">
      <w:pPr>
        <w:pStyle w:val="Heading1"/>
        <w:spacing w:before="120" w:after="120"/>
        <w:ind w:left="360" w:hanging="3"/>
        <w:rPr>
          <w:sz w:val="20"/>
          <w:szCs w:val="20"/>
        </w:rPr>
      </w:pPr>
      <w:r>
        <w:rPr>
          <w:sz w:val="20"/>
        </w:rPr>
        <w:t>EULA ID: Visual Studio dla komputerów Mac 23 marca 2018 r.</w:t>
      </w:r>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AA4" w:rsidRDefault="00181AA4" w:rsidP="00A741F2">
      <w:pPr>
        <w:spacing w:after="0" w:line="240" w:lineRule="auto"/>
      </w:pPr>
      <w:r>
        <w:separator/>
      </w:r>
    </w:p>
  </w:endnote>
  <w:endnote w:type="continuationSeparator" w:id="0">
    <w:p w:rsidR="00181AA4" w:rsidRDefault="00181AA4"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AA4" w:rsidRDefault="00181AA4" w:rsidP="00A741F2">
      <w:pPr>
        <w:spacing w:after="0" w:line="240" w:lineRule="auto"/>
      </w:pPr>
      <w:r>
        <w:separator/>
      </w:r>
    </w:p>
  </w:footnote>
  <w:footnote w:type="continuationSeparator" w:id="0">
    <w:p w:rsidR="00181AA4" w:rsidRDefault="00181AA4" w:rsidP="00A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6C509F4"/>
    <w:multiLevelType w:val="hybridMultilevel"/>
    <w:tmpl w:val="F6AA9E6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BCB4DC8"/>
    <w:multiLevelType w:val="hybridMultilevel"/>
    <w:tmpl w:val="51ACBAD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FFFFFFFF">
      <w:start w:val="1"/>
      <w:numFmt w:val="lowerRoman"/>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 w15:restartNumberingAfterBreak="0">
    <w:nsid w:val="415C328F"/>
    <w:multiLevelType w:val="hybridMultilevel"/>
    <w:tmpl w:val="8A067540"/>
    <w:lvl w:ilvl="0" w:tplc="FFFFFFFF">
      <w:numFmt w:val="bullet"/>
      <w:lvlText w:val=""/>
      <w:lvlJc w:val="left"/>
      <w:pPr>
        <w:ind w:left="720" w:hanging="360"/>
      </w:pPr>
      <w:rPr>
        <w:rFonts w:ascii="Symbol" w:eastAsia="Times New Roman"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7A81638"/>
    <w:multiLevelType w:val="hybridMultilevel"/>
    <w:tmpl w:val="0FF44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FFFFFFFF">
      <w:start w:val="1"/>
      <w:numFmt w:val="bullet"/>
      <w:pStyle w:val="Bullet3"/>
      <w:lvlText w:val=""/>
      <w:lvlJc w:val="left"/>
      <w:pPr>
        <w:tabs>
          <w:tab w:val="num" w:pos="1800"/>
        </w:tabs>
        <w:ind w:left="1797" w:hanging="35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0szAxNzMxMDK2MDU3NDdR0lEKTi0uzszPAykwrAUAylju5iwAAAA="/>
  </w:docVars>
  <w:rsids>
    <w:rsidRoot w:val="006F4E73"/>
    <w:rsid w:val="000A129C"/>
    <w:rsid w:val="00143E32"/>
    <w:rsid w:val="00181AA4"/>
    <w:rsid w:val="00262BD9"/>
    <w:rsid w:val="0034315C"/>
    <w:rsid w:val="003B27BE"/>
    <w:rsid w:val="00444523"/>
    <w:rsid w:val="00493EDA"/>
    <w:rsid w:val="00523FB6"/>
    <w:rsid w:val="005E7217"/>
    <w:rsid w:val="008C3D54"/>
    <w:rsid w:val="00A741F2"/>
    <w:rsid w:val="00C52CA4"/>
    <w:rsid w:val="00C73DAA"/>
    <w:rsid w:val="00D67A09"/>
    <w:rsid w:val="00D7331F"/>
    <w:rsid w:val="00EE141A"/>
    <w:rsid w:val="00FB20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308A11E4-FA64-457E-A874-C417640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lang w:val="pl-PL" w:eastAsia="pl-PL"/>
    </w:rPr>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lang w:val="pl-PL" w:eastAsia="pl-PL"/>
    </w:rPr>
  </w:style>
  <w:style w:type="character" w:customStyle="1" w:styleId="Heading2Char">
    <w:name w:val="Heading 2 Char"/>
    <w:basedOn w:val="DefaultParagraphFont"/>
    <w:link w:val="Heading2"/>
    <w:uiPriority w:val="9"/>
    <w:semiHidden/>
    <w:locked/>
    <w:rPr>
      <w:rFonts w:ascii="Calibri Light" w:hAnsi="Calibri Light" w:cs="Times New Roman"/>
      <w:b/>
      <w:i/>
      <w:sz w:val="28"/>
      <w:lang w:val="pl-PL" w:eastAsia="pl-PL"/>
    </w:rPr>
  </w:style>
  <w:style w:type="character" w:customStyle="1" w:styleId="Heading3Char">
    <w:name w:val="Heading 3 Char"/>
    <w:basedOn w:val="DefaultParagraphFont"/>
    <w:link w:val="Heading3"/>
    <w:uiPriority w:val="99"/>
    <w:locked/>
    <w:rPr>
      <w:rFonts w:ascii="Calibri Light" w:hAnsi="Calibri Light" w:cs="Times New Roman"/>
      <w:b/>
      <w:sz w:val="26"/>
      <w:lang w:val="pl-PL" w:eastAsia="pl-PL"/>
    </w:rPr>
  </w:style>
  <w:style w:type="paragraph" w:customStyle="1" w:styleId="Default">
    <w:name w:val="Default"/>
    <w:pPr>
      <w:widowControl w:val="0"/>
      <w:autoSpaceDE w:val="0"/>
      <w:autoSpaceDN w:val="0"/>
      <w:adjustRightInd w:val="0"/>
    </w:pPr>
    <w:rPr>
      <w:rFonts w:ascii="Tahoma" w:hAnsi="Tahoma" w:cs="Tahoma"/>
      <w:sz w:val="24"/>
      <w:szCs w:val="24"/>
      <w:lang w:val="pl-PL" w:eastAsia="pl-PL"/>
    </w:rPr>
  </w:style>
  <w:style w:type="character" w:customStyle="1" w:styleId="InternetLink">
    <w:name w:val="Internet Link"/>
    <w:uiPriority w:val="99"/>
    <w:rPr>
      <w:color w:val="000080"/>
      <w:u w:val="single"/>
      <w:lang w:val="pl-PL" w:eastAsia="pl-PL"/>
    </w:rPr>
  </w:style>
  <w:style w:type="paragraph" w:customStyle="1" w:styleId="Heading">
    <w:name w:val="Heading"/>
    <w:basedOn w:val="Default"/>
    <w:next w:val="Textbody"/>
    <w:uiPriority w:val="99"/>
    <w:pPr>
      <w:keepNext/>
      <w:spacing w:before="240" w:after="120"/>
    </w:pPr>
    <w:rPr>
      <w:rFonts w:ascii="Arial" w:hAnsi="Arial"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rFonts w:cs="Times New Roman"/>
      <w:sz w:val="16"/>
      <w:lang w:val="pl-PL" w:eastAsia="pl-P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lang w:val="pl-PL" w:eastAsia="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sz w:val="20"/>
      <w:lang w:val="pl-PL" w:eastAsia="pl-PL"/>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Times New Roman"/>
      <w:sz w:val="18"/>
      <w:lang w:val="pl-PL" w:eastAsia="pl-PL"/>
    </w:rPr>
  </w:style>
  <w:style w:type="character" w:styleId="Hyperlink">
    <w:name w:val="Hyperlink"/>
    <w:aliases w:val="Char Char7"/>
    <w:basedOn w:val="DefaultParagraphFont"/>
    <w:uiPriority w:val="99"/>
    <w:rPr>
      <w:rFonts w:cs="Times New Roman"/>
      <w:color w:val="0000FF"/>
      <w:u w:val="single"/>
      <w:lang w:val="pl-PL" w:eastAsia="pl-PL"/>
    </w:rPr>
  </w:style>
  <w:style w:type="character" w:customStyle="1" w:styleId="Bullet3Char1">
    <w:name w:val="Bullet 3 Char1"/>
    <w:link w:val="Bullet3"/>
    <w:locked/>
    <w:rPr>
      <w:rFonts w:ascii="Tahoma" w:hAnsi="Tahoma"/>
      <w:sz w:val="19"/>
      <w:lang w:val="pl-PL" w:eastAsia="pl-PL"/>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styleId="Mention">
    <w:name w:val="Mention"/>
    <w:basedOn w:val="DefaultParagraphFont"/>
    <w:uiPriority w:val="99"/>
    <w:semiHidden/>
    <w:unhideWhenUsed/>
    <w:rPr>
      <w:color w:val="2B579A"/>
      <w:shd w:val="clear" w:color="000000" w:fill="auto"/>
      <w:lang w:val="pl-PL" w:eastAsia="pl-PL"/>
    </w:rPr>
  </w:style>
  <w:style w:type="character" w:customStyle="1" w:styleId="Body1Char1">
    <w:name w:val="Body 1 Char1"/>
    <w:link w:val="Body1"/>
    <w:uiPriority w:val="99"/>
    <w:locked/>
    <w:rPr>
      <w:rFonts w:ascii="Tahoma" w:hAnsi="Tahoma"/>
      <w:sz w:val="19"/>
      <w:lang w:val="pl-PL" w:eastAsia="pl-PL"/>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lang w:val="pl-PL" w:eastAsia="pl-PL"/>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www.microsoft.com/exporting" TargetMode="External"/><Relationship Id="rId10" Type="http://schemas.openxmlformats.org/officeDocument/2006/relationships/hyperlink" Target="http://aka.ms/nareturns"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go.microsoft.com/fwlink/?linkid=8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4178</Words>
  <Characters>23816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 (Aditi Technologies Private LTD)</cp:lastModifiedBy>
  <cp:revision>2</cp:revision>
  <dcterms:created xsi:type="dcterms:W3CDTF">2018-04-24T20:41:00Z</dcterms:created>
  <dcterms:modified xsi:type="dcterms:W3CDTF">2018-04-24T20:41:00Z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dapont@microsoft.com</vt:lpwstr>
  </property>
  <property fmtid="{D5CDD505-2E9C-101B-9397-08002B2CF9AE}" pid="5" name="MSIP_Label_f42aa342-8706-4288-bd11-ebb85995028c_SetDate">
    <vt:lpwstr>2018-03-15T23:27:07.3356330Z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