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C0129E" w:rsidP="00C52CA4">
      <w:pPr>
        <w:pStyle w:val="Default"/>
        <w:spacing w:before="120" w:after="120"/>
        <w:rPr>
          <w:sz w:val="20"/>
          <w:szCs w:val="20"/>
        </w:rPr>
      </w:pPr>
      <w:bookmarkStart w:id="0" w:name="_GoBack"/>
      <w:bookmarkEnd w:id="0"/>
      <w:r>
        <w:rPr>
          <w:b/>
          <w:sz w:val="20"/>
        </w:rPr>
        <w:t>TERMOS DE LICENCIAMENTO PARA SOFTWARE MICROSOFT</w:t>
      </w:r>
    </w:p>
    <w:p w:rsidR="00444523" w:rsidRPr="00C52CA4" w:rsidRDefault="00C0129E" w:rsidP="00C52CA4">
      <w:pPr>
        <w:pStyle w:val="Default"/>
        <w:pBdr>
          <w:bottom w:val="single" w:sz="2" w:space="1" w:color="000000"/>
        </w:pBdr>
        <w:spacing w:before="120" w:after="120"/>
        <w:rPr>
          <w:sz w:val="20"/>
          <w:szCs w:val="20"/>
        </w:rPr>
      </w:pPr>
      <w:r>
        <w:rPr>
          <w:b/>
          <w:sz w:val="20"/>
        </w:rPr>
        <w:t xml:space="preserve">MICROSOFT VISUAL STUDIO COMMUNITY 2017 PARA MAC, VISUAL STUDIO PROFESSIONAL 2017 PARA MAC E VISUAL STUDIO ENTERPRISE 2017 PARA MAC </w:t>
      </w:r>
    </w:p>
    <w:p w:rsidR="005E7217" w:rsidRPr="00C52CA4" w:rsidRDefault="00C0129E" w:rsidP="00C52CA4">
      <w:pPr>
        <w:pStyle w:val="Default"/>
        <w:spacing w:before="120" w:after="120"/>
        <w:rPr>
          <w:sz w:val="20"/>
          <w:szCs w:val="20"/>
        </w:rPr>
      </w:pPr>
      <w:r>
        <w:rPr>
          <w:sz w:val="20"/>
        </w:rPr>
        <w:t>Os presentes termos de licença constituem um contrato entre o Adquirente e a Microsoft Corporation (ou uma das respetivas empresas afiliadas, dependendo do país de residência do Adquirente). Aplicáveis ao software designado acima. Também se aplicam a quaisquer serviços ou atualizações da Microsoft para o software, exceto na medida em que tiverem diferentes termos.</w:t>
      </w:r>
    </w:p>
    <w:p w:rsidR="005E7217" w:rsidRPr="00C52CA4" w:rsidRDefault="00C0129E" w:rsidP="00C52CA4">
      <w:pPr>
        <w:pStyle w:val="Default"/>
        <w:spacing w:before="120" w:after="120"/>
        <w:rPr>
          <w:b/>
          <w:sz w:val="20"/>
          <w:szCs w:val="20"/>
        </w:rPr>
      </w:pPr>
      <w:r>
        <w:rPr>
          <w:b/>
          <w:sz w:val="20"/>
        </w:rPr>
        <w:t>AO UTILIZAR O SOFTWARE, O CLIENTE ACEITA ESTES TERMOS. CASO O ADQUIRENTE NÃO ACEITE OS TERMOS, NÃO DEVERÁ UTILIZAR O SOFTWARE. EM VEZ DISSO, DEVERÁ DEVOLVÊ-LO AO REVENDEDOR PARA REEMBOLSO OU CRÉDITO. </w:t>
      </w:r>
      <w:r>
        <w:rPr>
          <w:sz w:val="20"/>
        </w:rPr>
        <w:t>Se não obtiver reembolso, o Adquirente deverá contactar a Microsoft ou a empresa sua afiliada no país do Adquirente para obter informações acerca das políticas de reembolso. Consulte </w:t>
      </w:r>
      <w:hyperlink r:id="rId7" w:history="1">
        <w:r>
          <w:rPr>
            <w:rStyle w:val="Hyperlink"/>
            <w:sz w:val="20"/>
          </w:rPr>
          <w:t>www.microsoft.com/worldwide</w:t>
        </w:r>
      </w:hyperlink>
      <w:r>
        <w:rPr>
          <w:sz w:val="20"/>
        </w:rPr>
        <w:t>. Nos Estados Unidos e Canadá, contacte (800) MICROSOFT ou consulte </w:t>
      </w:r>
      <w:hyperlink r:id="rId8" w:history="1">
        <w:r>
          <w:rPr>
            <w:rStyle w:val="Hyperlink"/>
            <w:sz w:val="20"/>
          </w:rPr>
          <w:t>www.microsoft.com/info/nareturns.htm</w:t>
        </w:r>
      </w:hyperlink>
      <w:r>
        <w:rPr>
          <w:sz w:val="20"/>
        </w:rPr>
        <w:t>.</w:t>
      </w:r>
    </w:p>
    <w:p w:rsidR="008C3D54" w:rsidRPr="00C52CA4" w:rsidRDefault="00C0129E" w:rsidP="00C52CA4">
      <w:pPr>
        <w:pStyle w:val="Default"/>
        <w:numPr>
          <w:ilvl w:val="0"/>
          <w:numId w:val="5"/>
        </w:numPr>
        <w:spacing w:before="120" w:after="120"/>
        <w:ind w:left="360"/>
        <w:rPr>
          <w:sz w:val="20"/>
          <w:szCs w:val="20"/>
        </w:rPr>
      </w:pPr>
      <w:r>
        <w:rPr>
          <w:sz w:val="20"/>
        </w:rPr>
        <w:t>A Secção I descreve os direitos do Adquirente relativos à utilização do Visual Studio Community 2017 para Mac.</w:t>
      </w:r>
    </w:p>
    <w:p w:rsidR="008C3D54" w:rsidRPr="00C52CA4" w:rsidRDefault="00C0129E" w:rsidP="00C52CA4">
      <w:pPr>
        <w:pStyle w:val="Default"/>
        <w:numPr>
          <w:ilvl w:val="0"/>
          <w:numId w:val="5"/>
        </w:numPr>
        <w:spacing w:before="120" w:after="120"/>
        <w:ind w:left="360"/>
        <w:rPr>
          <w:sz w:val="20"/>
          <w:szCs w:val="20"/>
        </w:rPr>
      </w:pPr>
      <w:r>
        <w:rPr>
          <w:sz w:val="20"/>
        </w:rPr>
        <w:t>A Secção II descreve os direitos de utilização melhorados, garantia e benefícios de suporte técnico se o Adquirente adquirir uma subscrição para as edições do software Visual Studio Professional 2017 para Mac ou Visual Studio Enterprise 2017 para Mac.</w:t>
      </w:r>
    </w:p>
    <w:p w:rsidR="008C3D54" w:rsidRPr="00C52CA4" w:rsidRDefault="00C0129E" w:rsidP="00C52CA4">
      <w:pPr>
        <w:pStyle w:val="Default"/>
        <w:numPr>
          <w:ilvl w:val="0"/>
          <w:numId w:val="5"/>
        </w:numPr>
        <w:pBdr>
          <w:bottom w:val="single" w:sz="4" w:space="1" w:color="auto"/>
        </w:pBdr>
        <w:spacing w:before="120" w:after="120"/>
        <w:ind w:left="360"/>
        <w:rPr>
          <w:sz w:val="20"/>
          <w:szCs w:val="20"/>
        </w:rPr>
      </w:pPr>
      <w:r>
        <w:rPr>
          <w:sz w:val="20"/>
        </w:rPr>
        <w:t>A Secção III contém termos gerais que se aplicam a todas as edições do software.</w:t>
      </w:r>
    </w:p>
    <w:p w:rsidR="005E7217" w:rsidRPr="00C52CA4" w:rsidRDefault="00C0129E" w:rsidP="00C52CA4">
      <w:pPr>
        <w:pStyle w:val="Default"/>
        <w:spacing w:before="120" w:after="120"/>
        <w:rPr>
          <w:sz w:val="20"/>
          <w:szCs w:val="20"/>
        </w:rPr>
      </w:pPr>
      <w:r>
        <w:rPr>
          <w:b/>
          <w:sz w:val="20"/>
        </w:rPr>
        <w:t xml:space="preserve">SECÇÃO I: VISUAL STUDIO COMMUNITY 2017 PARA MAC. </w:t>
      </w:r>
      <w:r>
        <w:rPr>
          <w:sz w:val="20"/>
        </w:rPr>
        <w:t>Esta Secção descreve os direitos do Adquirente relativamente à edição do software Community.</w:t>
      </w:r>
    </w:p>
    <w:p w:rsidR="005E7217" w:rsidRPr="00C52CA4" w:rsidRDefault="00C0129E" w:rsidP="00C52CA4">
      <w:pPr>
        <w:pStyle w:val="Default"/>
        <w:numPr>
          <w:ilvl w:val="0"/>
          <w:numId w:val="23"/>
        </w:numPr>
        <w:tabs>
          <w:tab w:val="left" w:pos="360"/>
          <w:tab w:val="left" w:pos="5940"/>
        </w:tabs>
        <w:spacing w:before="120" w:after="120"/>
        <w:ind w:left="360"/>
        <w:rPr>
          <w:sz w:val="20"/>
          <w:szCs w:val="20"/>
        </w:rPr>
      </w:pPr>
      <w:r>
        <w:rPr>
          <w:b/>
          <w:sz w:val="20"/>
        </w:rPr>
        <w:t xml:space="preserve">DIREITOS DE UTILIZAÇÃO PARA VISUAL STUDIO COMMUNITY 2017 PARA MAC. </w:t>
      </w:r>
    </w:p>
    <w:p w:rsidR="005E7217" w:rsidRPr="00C52CA4" w:rsidRDefault="00C0129E" w:rsidP="00C52CA4">
      <w:pPr>
        <w:pStyle w:val="Default"/>
        <w:numPr>
          <w:ilvl w:val="1"/>
          <w:numId w:val="23"/>
        </w:numPr>
        <w:tabs>
          <w:tab w:val="left" w:pos="720"/>
        </w:tabs>
        <w:spacing w:before="120" w:after="120"/>
        <w:ind w:left="720"/>
        <w:rPr>
          <w:sz w:val="20"/>
          <w:szCs w:val="20"/>
        </w:rPr>
      </w:pPr>
      <w:r>
        <w:rPr>
          <w:b/>
          <w:sz w:val="20"/>
        </w:rPr>
        <w:t xml:space="preserve">Licença Individual. </w:t>
      </w:r>
      <w:r>
        <w:rPr>
          <w:sz w:val="20"/>
        </w:rPr>
        <w:t>Se o Adquirente é uma pessoa singular a trabalhar nas suas próprias aplicações para vender ou qualquer outra finalidade, pode utilizar o software para desenvolver e testar essas aplicações.</w:t>
      </w:r>
    </w:p>
    <w:p w:rsidR="005E7217" w:rsidRPr="00C52CA4" w:rsidRDefault="00C0129E" w:rsidP="00C52CA4">
      <w:pPr>
        <w:pStyle w:val="Default"/>
        <w:numPr>
          <w:ilvl w:val="1"/>
          <w:numId w:val="23"/>
        </w:numPr>
        <w:tabs>
          <w:tab w:val="left" w:pos="720"/>
        </w:tabs>
        <w:spacing w:before="120" w:after="120"/>
        <w:ind w:left="720"/>
        <w:rPr>
          <w:sz w:val="20"/>
          <w:szCs w:val="20"/>
        </w:rPr>
      </w:pPr>
      <w:r>
        <w:rPr>
          <w:b/>
          <w:sz w:val="20"/>
        </w:rPr>
        <w:t xml:space="preserve">Licenças de Organização. </w:t>
      </w:r>
      <w:r>
        <w:rPr>
          <w:sz w:val="20"/>
        </w:rPr>
        <w:t>Se o Adquirente é uma organização, os seus utilizadores podem utilizar o software como se segue:</w:t>
      </w:r>
    </w:p>
    <w:p w:rsidR="005E7217" w:rsidRPr="00C52CA4" w:rsidRDefault="00C0129E" w:rsidP="00C52CA4">
      <w:pPr>
        <w:pStyle w:val="Default"/>
        <w:numPr>
          <w:ilvl w:val="1"/>
          <w:numId w:val="5"/>
        </w:numPr>
        <w:spacing w:before="120" w:after="120"/>
        <w:rPr>
          <w:sz w:val="20"/>
          <w:szCs w:val="20"/>
        </w:rPr>
      </w:pPr>
      <w:r>
        <w:rPr>
          <w:sz w:val="20"/>
        </w:rPr>
        <w:t>Qualquer número de utilizadores do Adquirente pode utilizar o software para desenvolver e testar as suas aplicações lançadas ao abrigo das licenças de software open source aprovadas, Open Source Initiative (OSI).</w:t>
      </w:r>
    </w:p>
    <w:p w:rsidR="005E7217" w:rsidRPr="00C52CA4" w:rsidRDefault="00C0129E" w:rsidP="00C52CA4">
      <w:pPr>
        <w:pStyle w:val="Default"/>
        <w:numPr>
          <w:ilvl w:val="1"/>
          <w:numId w:val="5"/>
        </w:numPr>
        <w:spacing w:before="120" w:after="120"/>
        <w:rPr>
          <w:sz w:val="20"/>
          <w:szCs w:val="20"/>
        </w:rPr>
      </w:pPr>
      <w:r>
        <w:rPr>
          <w:sz w:val="20"/>
        </w:rPr>
        <w:t xml:space="preserve">Qualquer número dos utilizadores do Adquirente pode utilizar o software para desenvolver e testar extensões para Visual Studio. </w:t>
      </w:r>
    </w:p>
    <w:p w:rsidR="005E7217" w:rsidRPr="00C52CA4" w:rsidRDefault="00C0129E" w:rsidP="00C52CA4">
      <w:pPr>
        <w:pStyle w:val="Default"/>
        <w:numPr>
          <w:ilvl w:val="1"/>
          <w:numId w:val="5"/>
        </w:numPr>
        <w:spacing w:before="120" w:after="120"/>
        <w:rPr>
          <w:sz w:val="20"/>
          <w:szCs w:val="20"/>
        </w:rPr>
      </w:pPr>
      <w:r>
        <w:rPr>
          <w:sz w:val="20"/>
        </w:rPr>
        <w:t>Qualquer número de utilizadores do Adquirente pode utilizar o software para desenvolver e testar as suas aplicações como parte de educação e formação em sala de aula presencial ou online, ou para realizar investigação académica.</w:t>
      </w:r>
    </w:p>
    <w:p w:rsidR="005E7217" w:rsidRPr="00C52CA4" w:rsidRDefault="00C0129E" w:rsidP="00C52CA4">
      <w:pPr>
        <w:pStyle w:val="Default"/>
        <w:numPr>
          <w:ilvl w:val="1"/>
          <w:numId w:val="5"/>
        </w:numPr>
        <w:spacing w:before="120" w:after="120"/>
        <w:rPr>
          <w:sz w:val="20"/>
          <w:szCs w:val="20"/>
        </w:rPr>
      </w:pPr>
      <w:r>
        <w:rPr>
          <w:sz w:val="20"/>
        </w:rPr>
        <w:t>Se nenhuma das acima se aplicar, e o Adquirente também não é uma empresa (definida abaixo), então, até 5 dos seus utilizadores individuais podem utilizar o software simultaneamente para desenvolver e testar as suas aplicações.</w:t>
      </w:r>
    </w:p>
    <w:p w:rsidR="005E7217" w:rsidRPr="00C52CA4" w:rsidRDefault="00C0129E" w:rsidP="00C52CA4">
      <w:pPr>
        <w:pStyle w:val="Default"/>
        <w:numPr>
          <w:ilvl w:val="1"/>
          <w:numId w:val="5"/>
        </w:numPr>
        <w:spacing w:before="120" w:after="120"/>
        <w:rPr>
          <w:sz w:val="20"/>
          <w:szCs w:val="20"/>
        </w:rPr>
      </w:pPr>
      <w:r>
        <w:rPr>
          <w:sz w:val="20"/>
        </w:rPr>
        <w:lastRenderedPageBreak/>
        <w:t xml:space="preserve">Se o Adquirente é uma empresa, os seus funcionários e contratantes </w:t>
      </w:r>
      <w:r>
        <w:rPr>
          <w:sz w:val="20"/>
          <w:u w:val="single"/>
        </w:rPr>
        <w:t>não</w:t>
      </w:r>
      <w:r>
        <w:rPr>
          <w:sz w:val="20"/>
        </w:rPr>
        <w:t xml:space="preserve"> podem utilizar o software para desenvolver ou testar as suas aplicações, exceto para fins open source, de extensões Visual Studio e educação, conforme permitido acima. Uma </w:t>
      </w:r>
      <w:r>
        <w:rPr>
          <w:sz w:val="20"/>
          <w:cs/>
        </w:rPr>
        <w:t>“</w:t>
      </w:r>
      <w:r>
        <w:rPr>
          <w:sz w:val="20"/>
        </w:rPr>
        <w:t>empresa</w:t>
      </w:r>
      <w:r>
        <w:rPr>
          <w:sz w:val="20"/>
          <w:cs/>
        </w:rPr>
        <w:t xml:space="preserve">” </w:t>
      </w:r>
      <w:r>
        <w:rPr>
          <w:sz w:val="20"/>
        </w:rPr>
        <w:t xml:space="preserve">é uma organização e as respetivas afiliadas que coletivamente possuem mais de (i) 250 PC ou utilizadores ou (ii) um milhão de dólares (ou o equivalente noutras moedas) em receitas anuais e </w:t>
      </w:r>
      <w:r>
        <w:rPr>
          <w:sz w:val="20"/>
          <w:cs/>
        </w:rPr>
        <w:t>“</w:t>
      </w:r>
      <w:r>
        <w:rPr>
          <w:sz w:val="20"/>
        </w:rPr>
        <w:t>afiliadas</w:t>
      </w:r>
      <w:r>
        <w:rPr>
          <w:sz w:val="20"/>
          <w:cs/>
        </w:rPr>
        <w:t xml:space="preserve">” </w:t>
      </w:r>
      <w:r>
        <w:rPr>
          <w:sz w:val="20"/>
        </w:rPr>
        <w:t>significa aquelas entidades que controlam (através de propriedade maioritária), são controladas por ou estão sob o controlo comum de uma organização.</w:t>
      </w:r>
    </w:p>
    <w:p w:rsidR="005E7217" w:rsidRPr="00C52CA4" w:rsidRDefault="00C0129E" w:rsidP="00C52CA4">
      <w:pPr>
        <w:pStyle w:val="Default"/>
        <w:numPr>
          <w:ilvl w:val="1"/>
          <w:numId w:val="23"/>
        </w:numPr>
        <w:tabs>
          <w:tab w:val="left" w:pos="720"/>
        </w:tabs>
        <w:spacing w:before="120" w:after="120"/>
        <w:ind w:left="720"/>
        <w:rPr>
          <w:sz w:val="20"/>
          <w:szCs w:val="20"/>
        </w:rPr>
      </w:pPr>
      <w:r>
        <w:rPr>
          <w:b/>
          <w:sz w:val="20"/>
        </w:rPr>
        <w:t>Utilização de Demonstração.</w:t>
      </w:r>
      <w:r>
        <w:rPr>
          <w:sz w:val="20"/>
        </w:rPr>
        <w:t xml:space="preserve"> As utilizações permitidas acima incluem a utilização do software para demonstrar as aplicações do Adquirente.</w:t>
      </w:r>
    </w:p>
    <w:p w:rsidR="005E7217" w:rsidRPr="00C52CA4" w:rsidRDefault="00C0129E" w:rsidP="00C52CA4">
      <w:pPr>
        <w:pStyle w:val="Default"/>
        <w:numPr>
          <w:ilvl w:val="0"/>
          <w:numId w:val="23"/>
        </w:numPr>
        <w:tabs>
          <w:tab w:val="left" w:pos="360"/>
        </w:tabs>
        <w:spacing w:before="120" w:after="120"/>
        <w:ind w:left="360"/>
        <w:rPr>
          <w:sz w:val="20"/>
          <w:szCs w:val="20"/>
        </w:rPr>
      </w:pPr>
      <w:r>
        <w:rPr>
          <w:b/>
          <w:sz w:val="20"/>
        </w:rPr>
        <w:t xml:space="preserve">SERVIÇOS DE SUPORTE TÉCNICO. </w:t>
      </w:r>
      <w:r>
        <w:rPr>
          <w:sz w:val="20"/>
        </w:rPr>
        <w:t xml:space="preserve">Uma vez que a aplicação Visual Studio Community 2017 para Mac é licenciada </w:t>
      </w:r>
      <w:r>
        <w:rPr>
          <w:sz w:val="20"/>
          <w:cs/>
        </w:rPr>
        <w:t>“</w:t>
      </w:r>
      <w:r>
        <w:rPr>
          <w:sz w:val="20"/>
        </w:rPr>
        <w:t>tal como está</w:t>
      </w:r>
      <w:r>
        <w:rPr>
          <w:sz w:val="20"/>
          <w:cs/>
        </w:rPr>
        <w:t>”</w:t>
      </w:r>
      <w:r>
        <w:rPr>
          <w:sz w:val="20"/>
        </w:rPr>
        <w:t>, a Microsoft poderá não fornecer suporte técnico para a mesma.</w:t>
      </w:r>
    </w:p>
    <w:p w:rsidR="005E7217" w:rsidRDefault="00C0129E" w:rsidP="00C52CA4">
      <w:pPr>
        <w:pStyle w:val="Default"/>
        <w:numPr>
          <w:ilvl w:val="0"/>
          <w:numId w:val="23"/>
        </w:numPr>
        <w:tabs>
          <w:tab w:val="left" w:pos="360"/>
        </w:tabs>
        <w:spacing w:before="120" w:after="120"/>
        <w:ind w:left="360"/>
        <w:rPr>
          <w:b/>
          <w:caps/>
          <w:sz w:val="20"/>
          <w:szCs w:val="20"/>
        </w:rPr>
      </w:pPr>
      <w:r>
        <w:rPr>
          <w:b/>
          <w:sz w:val="20"/>
        </w:rPr>
        <w:t xml:space="preserve">EXCLUSÃO DE GARANTIAS. </w:t>
      </w:r>
      <w:r>
        <w:rPr>
          <w:b/>
          <w:caps/>
          <w:sz w:val="20"/>
        </w:rPr>
        <w:t xml:space="preserve">VISUAL STUDIO COMMUNITY 2017 PARA MAC é licenciado </w:t>
      </w:r>
      <w:r>
        <w:rPr>
          <w:b/>
          <w:caps/>
          <w:sz w:val="20"/>
          <w:cs/>
        </w:rPr>
        <w:t>“</w:t>
      </w:r>
      <w:r>
        <w:rPr>
          <w:b/>
          <w:caps/>
          <w:sz w:val="20"/>
        </w:rPr>
        <w:t>tal como está</w:t>
      </w:r>
      <w:r>
        <w:rPr>
          <w:b/>
          <w:caps/>
          <w:sz w:val="20"/>
          <w:cs/>
        </w:rPr>
        <w:t>”</w:t>
      </w:r>
      <w:r>
        <w:rPr>
          <w:b/>
          <w:caps/>
          <w:sz w:val="20"/>
        </w:rPr>
        <w:t>.  O Adquirente é responsável pela sua utilização. A MICROSOFT não concede quaisquer garantias ou condições expressas. Na medida em que for permitido pelas leis locais, a MICROSOFT exclui as garantias implícitas, de comercialização, adequação a um fim específico e de não violação de direitos de propriedade intelectual.</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C0129E" w:rsidP="00C52CA4">
      <w:pPr>
        <w:pStyle w:val="Default"/>
        <w:spacing w:before="120" w:after="120"/>
        <w:rPr>
          <w:sz w:val="20"/>
          <w:szCs w:val="20"/>
        </w:rPr>
      </w:pPr>
      <w:r>
        <w:rPr>
          <w:b/>
          <w:sz w:val="20"/>
        </w:rPr>
        <w:t xml:space="preserve">SECÇÃO II: VISUAL STUDIO PROFESSIONAL 2017 PARA MAC E VISUAL STUDIO ENTERPRISE 2017 PARA MAC. </w:t>
      </w:r>
      <w:r>
        <w:rPr>
          <w:sz w:val="20"/>
        </w:rPr>
        <w:t>Esta Secção descreve os direitos de utilização, garantia e benefícios de suporte técnico do Adquirente, se este adquirir uma subscrição para as edições Professional ou Enterprise do software (</w:t>
      </w:r>
      <w:r>
        <w:rPr>
          <w:sz w:val="20"/>
          <w:cs/>
        </w:rPr>
        <w:t>“</w:t>
      </w:r>
      <w:r>
        <w:rPr>
          <w:sz w:val="20"/>
        </w:rPr>
        <w:t>Subscrição Visual Studio</w:t>
      </w:r>
      <w:r>
        <w:rPr>
          <w:sz w:val="20"/>
          <w:cs/>
        </w:rPr>
        <w:t>”</w:t>
      </w:r>
      <w:r>
        <w:rPr>
          <w:sz w:val="20"/>
        </w:rPr>
        <w:t xml:space="preserve">). O Adquirente não poderá partilhar o seu código de cupão ou credenciais de acesso da Subscrição Visual Studio. </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DIREITOS DE UTILIZAÇÃO PARA VISUAL STUDIO PROFESSIONAL 2017 PARA MAC E VISUAL STUDIO ENTERPRISE 2017 PARA MAC.</w:t>
      </w:r>
    </w:p>
    <w:p w:rsidR="005E7217" w:rsidRPr="00C52CA4" w:rsidRDefault="00C0129E" w:rsidP="00C52CA4">
      <w:pPr>
        <w:pStyle w:val="Default"/>
        <w:numPr>
          <w:ilvl w:val="1"/>
          <w:numId w:val="24"/>
        </w:numPr>
        <w:tabs>
          <w:tab w:val="left" w:pos="720"/>
        </w:tabs>
        <w:spacing w:before="120" w:after="120"/>
        <w:ind w:left="720"/>
        <w:rPr>
          <w:sz w:val="20"/>
          <w:szCs w:val="20"/>
        </w:rPr>
      </w:pPr>
      <w:r>
        <w:rPr>
          <w:b/>
          <w:sz w:val="20"/>
        </w:rPr>
        <w:t xml:space="preserve">Geral. </w:t>
      </w:r>
      <w:r>
        <w:rPr>
          <w:sz w:val="20"/>
        </w:rPr>
        <w:t xml:space="preserve">O software é licenciado por utilizador. Um utilizador pode utilizar cópias do software nos dispositivos do Adquirente para desenvolver e testar aplicações. Isto inclui utilizar cópias do software nos servidores internos do Adquirente que permanecem completamente dedicados à sua própria utilização. No entanto, o Adquirente não pode separar os componentes do software e executá-los num ambiente de produção ou em dispositivos de terceiros (exceto se indicado o contrário neste contrato), ou para qualquer finalidade diferente de desenvolvimento e teste das suas aplicações. </w:t>
      </w:r>
    </w:p>
    <w:p w:rsidR="005E7217" w:rsidRPr="00C52CA4" w:rsidRDefault="00C0129E" w:rsidP="00C52CA4">
      <w:pPr>
        <w:pStyle w:val="Default"/>
        <w:numPr>
          <w:ilvl w:val="1"/>
          <w:numId w:val="24"/>
        </w:numPr>
        <w:tabs>
          <w:tab w:val="left" w:pos="720"/>
        </w:tabs>
        <w:spacing w:before="120" w:after="120"/>
        <w:ind w:left="720"/>
        <w:rPr>
          <w:sz w:val="20"/>
          <w:szCs w:val="20"/>
        </w:rPr>
      </w:pPr>
      <w:r>
        <w:rPr>
          <w:b/>
          <w:sz w:val="20"/>
        </w:rPr>
        <w:t>Utilização de Demonstração</w:t>
      </w:r>
      <w:r>
        <w:rPr>
          <w:sz w:val="20"/>
        </w:rPr>
        <w:t>. As utilizações permitidas acima incluem utilização do software para demonstrar as aplicações do Adquirente.</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DOCUMENTAÇÃO. </w:t>
      </w:r>
      <w:r>
        <w:rPr>
          <w:sz w:val="20"/>
        </w:rPr>
        <w:t>Qualquer pessoa que tenha acesso válido ao computador ou à rede interna do Adquirente poderá copiar e utilizar a documentação para fins internos e de referência.</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SOFTWARE NÃO DESTINADO A REVENDA. </w:t>
      </w:r>
      <w:r>
        <w:rPr>
          <w:sz w:val="20"/>
        </w:rPr>
        <w:t>O Adquirente não pode vender software marcado como "NFR" ou "Not for Resale".</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PROVA DE LICENÇA (</w:t>
      </w:r>
      <w:r>
        <w:rPr>
          <w:b/>
          <w:sz w:val="20"/>
          <w:cs/>
        </w:rPr>
        <w:t>“</w:t>
      </w:r>
      <w:r>
        <w:rPr>
          <w:b/>
          <w:sz w:val="20"/>
        </w:rPr>
        <w:t>PROOF OF LICENSE</w:t>
      </w:r>
      <w:r>
        <w:rPr>
          <w:b/>
          <w:sz w:val="20"/>
          <w:cs/>
        </w:rPr>
        <w:t xml:space="preserve">” </w:t>
      </w:r>
      <w:r>
        <w:rPr>
          <w:b/>
          <w:sz w:val="20"/>
        </w:rPr>
        <w:t xml:space="preserve">ou </w:t>
      </w:r>
      <w:r>
        <w:rPr>
          <w:b/>
          <w:sz w:val="20"/>
          <w:cs/>
        </w:rPr>
        <w:t>“</w:t>
      </w:r>
      <w:r>
        <w:rPr>
          <w:b/>
          <w:sz w:val="20"/>
        </w:rPr>
        <w:t>POL</w:t>
      </w:r>
      <w:r>
        <w:rPr>
          <w:b/>
          <w:sz w:val="20"/>
          <w:cs/>
        </w:rPr>
        <w:t>”</w:t>
      </w:r>
      <w:r>
        <w:rPr>
          <w:b/>
          <w:sz w:val="20"/>
        </w:rPr>
        <w:t xml:space="preserve">). </w:t>
      </w:r>
      <w:r>
        <w:rPr>
          <w:sz w:val="20"/>
        </w:rPr>
        <w:t xml:space="preserve">A prova de licença do Adquirente é o código de cupão da Microsoft que recebeu através da Subscrição Visual Studio e a sua receção e/ou </w:t>
      </w:r>
      <w:r>
        <w:rPr>
          <w:sz w:val="20"/>
        </w:rPr>
        <w:lastRenderedPageBreak/>
        <w:t xml:space="preserve">ser capaz de aceder ao serviço do software através da respetiva conta da Microsoft. </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TRANSFERÊNCIA PARA TERCEIROS.  </w:t>
      </w:r>
      <w:r>
        <w:rPr>
          <w:sz w:val="20"/>
        </w:rPr>
        <w:t xml:space="preserve">Se o Adquirente tem uma Subscrição Visual Studio, pode transferir este software e os contratos de licença aplicáveis diretamente para outra parte. Antes da transferência, essa parte tem de concordar que este contrato se aplica à transferência e utilização do software. A transferência deverá incluir o software e o código de cupão. O Adquirente deverá desinstalar todas as cópias do software após transferência do(s) seu(s) dispositivo(s). O Adquirente não poderá manter quaisquer cópias do código de cupão a serem transferidas e apenas poderá manter cópias do software se, de outra forma, estiver licenciado para o fazer. </w:t>
      </w:r>
      <w:r>
        <w:rPr>
          <w:b/>
          <w:sz w:val="20"/>
        </w:rPr>
        <w:t>Se o Adquirente adquiriu uma licença não perpétua para utilizar o software ou se o software estiver marcado "Not for Resale", não poderá transferir o software ou o presente contrato para outra parte.</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SERVIÇOS DE SUPORTE TÉCNICO.</w:t>
      </w:r>
      <w:r>
        <w:rPr>
          <w:sz w:val="20"/>
        </w:rPr>
        <w:t xml:space="preserve"> A Microsoft fornece suporte técnico para o software, como descrito em </w:t>
      </w:r>
      <w:hyperlink r:id="rId9" w:history="1">
        <w:r>
          <w:rPr>
            <w:rStyle w:val="Hyperlink"/>
            <w:sz w:val="20"/>
          </w:rPr>
          <w:t>https://support.microsoft.com</w:t>
        </w:r>
      </w:hyperlink>
      <w:r>
        <w:rPr>
          <w:sz w:val="20"/>
        </w:rPr>
        <w:t xml:space="preserve">. </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GARANTIA LIMITADA. </w:t>
      </w:r>
      <w:r>
        <w:rPr>
          <w:sz w:val="20"/>
        </w:rPr>
        <w:t>Se o Adquirente seguir as instruções, o software funcionará substancialmente em conformidade com o descrito nos materiais da Microsoft que recebeu no ou com o software.</w:t>
      </w:r>
    </w:p>
    <w:p w:rsidR="005E7217" w:rsidRPr="00C52CA4" w:rsidRDefault="00C0129E" w:rsidP="00C52CA4">
      <w:pPr>
        <w:pStyle w:val="Default"/>
        <w:spacing w:before="120" w:after="120"/>
        <w:ind w:left="360"/>
        <w:rPr>
          <w:sz w:val="20"/>
          <w:szCs w:val="20"/>
        </w:rPr>
      </w:pPr>
      <w:r>
        <w:rPr>
          <w:sz w:val="20"/>
        </w:rPr>
        <w:t>As referências à "garantia limitada" são referências à garantia expressa fornecida pela Microsoft. Esta garantia é fornecida para além de outros direitos e ressarcimentos aos quais o Adquirente tenha direito ao abrigo da lei, incluindo os seus direitos e ressarcimentos em conformidade com as garantias legais ao abrigo da Lei para Consumidores local.</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TERMO DA GARANTIA; BENEFICIÁRIO DA GARANTIA; DURAÇÃO DE QUAISQUER GARANTIAS IMPLÍCITAS. A GARANTIA LIMITADA COBRE O SOFTWARE DURANTE UM ANO APÓS A AQUISIÇÃO PELO PRIMEIRO UTILIZADOR. SE O ADQUIRENTE RECEBER SUPLEMENTOS, ATUALIZAÇÕES OU SOFTWARE DE SUBSTITUIÇÃO DURANTE ESSE ANO, ESTES ESTARÃO COBERTOS DURANTE O TEMPO RESTANTE DA GARANTIA OU DURANTE 30 DIAS, CONSOANTE O PERÍODO QUE FOR MAIOR. </w:t>
      </w:r>
      <w:r>
        <w:rPr>
          <w:sz w:val="20"/>
        </w:rPr>
        <w:t>Se o primeiro utilizador transferir o software, o restante período da garantia será aplicado ao beneficiário.</w:t>
      </w:r>
    </w:p>
    <w:p w:rsidR="005E7217" w:rsidRPr="00C52CA4" w:rsidRDefault="00C0129E" w:rsidP="00C52CA4">
      <w:pPr>
        <w:pStyle w:val="Default"/>
        <w:spacing w:before="120" w:after="120"/>
        <w:ind w:left="360"/>
        <w:rPr>
          <w:sz w:val="20"/>
          <w:szCs w:val="20"/>
        </w:rPr>
      </w:pPr>
      <w:r>
        <w:rPr>
          <w:b/>
          <w:sz w:val="20"/>
        </w:rPr>
        <w:t>ATÉ À EXTENSÃO PERMITIDA PELA LEI, QUAISQUER GARANTIAS IMPLÍCITAS OU CONDIÇÕES VIGORAM APENAS DURANTE O PERÍODO DE VIGÊNCIA DA GARANTIA LIMITADA.</w:t>
      </w:r>
      <w:r>
        <w:rPr>
          <w:sz w:val="20"/>
        </w:rPr>
        <w:t xml:space="preserve"> Alguns estados não permitem limitações quanto à duração de uma garantia implícita, pelo que estas limitações podem não ser aplicáveis ao Adquirente. Poderão também não aplicar-se ao Adquirente porque alguns países podem não permitir limitações na duração de uma garantia ou condição implícita.</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 xml:space="preserve">EXCLUSÕES DA GARANTIA. </w:t>
      </w:r>
      <w:r>
        <w:rPr>
          <w:sz w:val="20"/>
        </w:rPr>
        <w:t>A presente garantia não cobre problemas causados pelos atos do Adquirente (ou falhas em agir), atos de outros ou eventos fora do controlo razoável da Microsoft.</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RESSARCIMENTO POR VIOLAÇÃO DA GARANTIA.</w:t>
      </w:r>
      <w:r>
        <w:rPr>
          <w:sz w:val="20"/>
        </w:rPr>
        <w:t xml:space="preserve"> </w:t>
      </w:r>
      <w:r>
        <w:rPr>
          <w:b/>
          <w:sz w:val="20"/>
        </w:rPr>
        <w:t xml:space="preserve">A MICROSOFT PROCEDE GRATUITAMENTE À REPARAÇÃO OU SUBSTITUIÇÃO DO SOFTWARE. SE NÃO FOR POSSÍVEL REPARÁ-LO OU SUBSTITUÍ-LO, A MICROSOFT REEMBOLSA O MONTANTE PRESENTE NO RECIBO DO SOFTWARE. TAMBÉM PROCEDERÁ À REPARAÇÃO OU SUBSTITUIÇÃO DOS SUPLEMENTOS, ATUALIZAÇÕES E SOFTWARE DE SUBSTITUIÇÃO GRATUITAMENTE. SE NÃO FOR POSSÍVEL REPARÁ-LOS OU SUBSTITUÍ-LOS, A MICROSOFT REEMBOLSA O MONTANTE PAGO PELOS MESMOS, EVENTUALMENTE EXISTENTES. O ADQUIRENTE TERÁ DE DESINSTALAR O SOFTWARE E DEVOLVER QUAISQUER SUPORTES INFORMÁTICOS E OUTROS MATERIAIS ASSOCIADOS À MICROSOFT JUNTAMENTE COM A PROVA DE COMPRA PARA OBTER UM REEMBOLSO. </w:t>
      </w:r>
      <w:r>
        <w:rPr>
          <w:b/>
          <w:sz w:val="20"/>
        </w:rPr>
        <w:lastRenderedPageBreak/>
        <w:t>ESTES SÃO OS ÚNICOS RESSARCIMENTOS POR VIOLAÇÃO DA GARANTIA LIMITADA.</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DIREITOS DO CONSUMIDOR NÃO AFETADOS.</w:t>
      </w:r>
      <w:r>
        <w:rPr>
          <w:sz w:val="20"/>
        </w:rPr>
        <w:t xml:space="preserve"> </w:t>
      </w:r>
      <w:r>
        <w:rPr>
          <w:b/>
          <w:sz w:val="20"/>
        </w:rPr>
        <w:t>O ADQUIRENTE PODERÁ TER DIREITOS DE CONSUMIDOR ADICIONAIS, AO ABRIGO DA LEGISLAÇÃO LOCAL VIGENTE, QUE NÃO PODEM SER ALTERADOS POR ESTE CONTRATO.</w:t>
      </w:r>
    </w:p>
    <w:p w:rsidR="00D67A09" w:rsidRPr="00C52CA4" w:rsidRDefault="00C0129E" w:rsidP="00C52CA4">
      <w:pPr>
        <w:pStyle w:val="Default"/>
        <w:numPr>
          <w:ilvl w:val="0"/>
          <w:numId w:val="24"/>
        </w:numPr>
        <w:tabs>
          <w:tab w:val="left" w:pos="360"/>
        </w:tabs>
        <w:spacing w:before="120" w:after="120"/>
        <w:ind w:left="360"/>
        <w:rPr>
          <w:sz w:val="20"/>
          <w:szCs w:val="20"/>
        </w:rPr>
      </w:pPr>
      <w:r>
        <w:rPr>
          <w:b/>
          <w:sz w:val="20"/>
        </w:rPr>
        <w:t>PROCEDIMENTOS DE GARANTIA.</w:t>
      </w:r>
      <w:r>
        <w:rPr>
          <w:sz w:val="20"/>
        </w:rPr>
        <w:t xml:space="preserve"> O Adquirente necessita da prova de compra para o serviço de garantia.</w:t>
      </w:r>
    </w:p>
    <w:p w:rsidR="00D67A09" w:rsidRPr="00C52CA4" w:rsidRDefault="00C0129E" w:rsidP="00C52CA4">
      <w:pPr>
        <w:pStyle w:val="Default"/>
        <w:numPr>
          <w:ilvl w:val="1"/>
          <w:numId w:val="24"/>
        </w:numPr>
        <w:tabs>
          <w:tab w:val="left" w:pos="720"/>
        </w:tabs>
        <w:spacing w:before="120" w:after="120"/>
        <w:ind w:left="720"/>
        <w:rPr>
          <w:sz w:val="20"/>
          <w:szCs w:val="20"/>
        </w:rPr>
      </w:pPr>
      <w:r>
        <w:rPr>
          <w:b/>
          <w:sz w:val="20"/>
        </w:rPr>
        <w:t>Estados Unidos e Canadá</w:t>
      </w:r>
      <w:r>
        <w:rPr>
          <w:sz w:val="20"/>
        </w:rPr>
        <w:t xml:space="preserve">. Para obter serviços de garantia ou informações sobre como obter um reembolso do software adquirido nos Estados Unidos ou no Canadá, contacte a Microsoft através de: </w:t>
      </w:r>
    </w:p>
    <w:p w:rsidR="00D67A09"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(800) MICROSOFT; </w:t>
      </w:r>
    </w:p>
    <w:p w:rsidR="00D67A09"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Microsoft Customer Service and Support, One Microsoft Way, Redmond, WA 98052-6399, EUA ou </w:t>
      </w:r>
    </w:p>
    <w:p w:rsidR="005E7217"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visite </w:t>
      </w:r>
      <w:hyperlink r:id="rId10" w:history="1">
        <w:r>
          <w:rPr>
            <w:rStyle w:val="Hyperlink"/>
            <w:sz w:val="20"/>
          </w:rPr>
          <w:t>aka.ms/nareturns</w:t>
        </w:r>
      </w:hyperlink>
      <w:r>
        <w:rPr>
          <w:sz w:val="20"/>
        </w:rPr>
        <w:t xml:space="preserve"> ou envie mensagem de correio eletrónico para </w:t>
      </w:r>
      <w:hyperlink r:id="rId11" w:history="1">
        <w:r>
          <w:rPr>
            <w:rStyle w:val="Hyperlink"/>
            <w:sz w:val="20"/>
          </w:rPr>
          <w:t>xamacctg@microsoft.com</w:t>
        </w:r>
      </w:hyperlink>
      <w:r>
        <w:rPr>
          <w:sz w:val="20"/>
        </w:rPr>
        <w:t>.</w:t>
      </w:r>
    </w:p>
    <w:p w:rsidR="00D67A09" w:rsidRPr="00C52CA4" w:rsidRDefault="00C0129E" w:rsidP="00C52CA4">
      <w:pPr>
        <w:pStyle w:val="Default"/>
        <w:numPr>
          <w:ilvl w:val="1"/>
          <w:numId w:val="24"/>
        </w:numPr>
        <w:tabs>
          <w:tab w:val="left" w:pos="720"/>
        </w:tabs>
        <w:spacing w:before="120" w:after="120"/>
        <w:ind w:left="720"/>
        <w:rPr>
          <w:sz w:val="20"/>
          <w:szCs w:val="20"/>
        </w:rPr>
      </w:pPr>
      <w:r>
        <w:rPr>
          <w:b/>
          <w:sz w:val="20"/>
        </w:rPr>
        <w:t>Europa, Médio Oriente e África.</w:t>
      </w:r>
      <w:r>
        <w:rPr>
          <w:sz w:val="20"/>
        </w:rPr>
        <w:t xml:space="preserve"> Se o software tiver sido adquirido na Europa, no Médio Oriente ou na África, a Microsoft Ireland Operations Limited limita esta garantia. Para proceder a uma queixa ao abrigo desta garantia, o Adquirente deverá contactar: </w:t>
      </w:r>
    </w:p>
    <w:p w:rsidR="00EE141A"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a Microsoft Ireland Operations Limited, Customer Care Centre, Atrium Building Block B, Carmanhall Road, Sandyford Industrial Estate, Dublin 18, Irlanda ou </w:t>
      </w:r>
    </w:p>
    <w:p w:rsidR="00C73DAA"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a afiliada da Microsoft no país ou região do Adquirente (consulte </w:t>
      </w:r>
      <w:hyperlink r:id="rId12" w:history="1">
        <w:r>
          <w:rPr>
            <w:rStyle w:val="Hyperlink"/>
            <w:sz w:val="20"/>
          </w:rPr>
          <w:t>aka.ms/msoffices</w:t>
        </w:r>
      </w:hyperlink>
      <w:r>
        <w:rPr>
          <w:sz w:val="20"/>
        </w:rPr>
        <w:t>).</w:t>
      </w:r>
    </w:p>
    <w:p w:rsidR="00D67A09" w:rsidRPr="00C52CA4" w:rsidRDefault="00C0129E" w:rsidP="00C52CA4">
      <w:pPr>
        <w:pStyle w:val="Default"/>
        <w:numPr>
          <w:ilvl w:val="1"/>
          <w:numId w:val="24"/>
        </w:numPr>
        <w:tabs>
          <w:tab w:val="left" w:pos="720"/>
        </w:tabs>
        <w:spacing w:before="120" w:after="120"/>
        <w:ind w:left="720"/>
        <w:rPr>
          <w:sz w:val="20"/>
          <w:szCs w:val="20"/>
        </w:rPr>
      </w:pPr>
      <w:r>
        <w:rPr>
          <w:b/>
          <w:sz w:val="20"/>
        </w:rPr>
        <w:t>Austrália</w:t>
      </w:r>
      <w:r>
        <w:rPr>
          <w:sz w:val="20"/>
        </w:rPr>
        <w:t xml:space="preserve">. Para obter Serviços de Garantia e reclamar o pagamento de despesas relacionadas com a garantia (se aplicável) pelo software adquirido na Austrália, contacte a Microsoft através de: </w:t>
      </w:r>
    </w:p>
    <w:p w:rsidR="00D67A09"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13 20 58; ou </w:t>
      </w:r>
    </w:p>
    <w:p w:rsidR="00D67A09" w:rsidRPr="00C52CA4" w:rsidRDefault="00C0129E"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Microsoft Pty Ltd, 1 Epping Road, North Ryde NSW 2113, Austrália.</w:t>
      </w:r>
    </w:p>
    <w:p w:rsidR="00D67A09" w:rsidRPr="00C52CA4" w:rsidRDefault="00C0129E" w:rsidP="00C52CA4">
      <w:pPr>
        <w:pStyle w:val="Default"/>
        <w:numPr>
          <w:ilvl w:val="1"/>
          <w:numId w:val="24"/>
        </w:numPr>
        <w:tabs>
          <w:tab w:val="left" w:pos="720"/>
        </w:tabs>
        <w:spacing w:before="120" w:after="120"/>
        <w:ind w:left="720"/>
        <w:rPr>
          <w:sz w:val="20"/>
          <w:szCs w:val="20"/>
        </w:rPr>
      </w:pPr>
      <w:r>
        <w:rPr>
          <w:b/>
          <w:sz w:val="20"/>
        </w:rPr>
        <w:t>Fora dos Estados Unidos, Canadá, Europa, Médio Oriente, África e Austrália</w:t>
      </w:r>
      <w:r>
        <w:rPr>
          <w:sz w:val="20"/>
        </w:rPr>
        <w:t xml:space="preserve">. Se o software foi adquirido fora dos Estados Unidos, Canadá, Europa, Médio Oriente, África e Austrália, contacte a Afiliada da Microsoft no país ou região do Adquirente (consulte </w:t>
      </w:r>
      <w:hyperlink r:id="rId13" w:history="1">
        <w:r>
          <w:rPr>
            <w:rStyle w:val="Hyperlink"/>
            <w:sz w:val="20"/>
          </w:rPr>
          <w:t>aka.ms/msoffices</w:t>
        </w:r>
      </w:hyperlink>
      <w:r>
        <w:rPr>
          <w:sz w:val="20"/>
        </w:rPr>
        <w:t>).</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EXCLUSÃO DE OUTRAS GARANTIAS.</w:t>
      </w:r>
      <w:r>
        <w:rPr>
          <w:sz w:val="20"/>
        </w:rPr>
        <w:t xml:space="preserve"> </w:t>
      </w:r>
      <w:r>
        <w:rPr>
          <w:b/>
          <w:sz w:val="20"/>
        </w:rPr>
        <w:t xml:space="preserve">A GARANTIA LIMITADA É A ÚNICA GARANTIA DIRETA DA MICROSOFT. NÃO SÃO CONCEDIDAS OUTRAS GARANTIAS OU CONDIÇÕES EXPRESSAS. SEMPRE QUE FOR PERMITIDO PELAS LEIS LOCAIS, A MICROSOFT EXCLUI AS GARANTIAS IMPLÍCITAS DE COMERCIALIZAÇÃO, ADEQUAÇÃO A UM FIM PARTICULAR E NÃO INFRAÇÃO. </w:t>
      </w:r>
      <w:r>
        <w:rPr>
          <w:sz w:val="20"/>
        </w:rPr>
        <w:t>Se as leis locais concederem quaisquer garantias ou condições implícitas, não obstante esta exclusão, os ressarcimentos a que o Adquirente terá direito encontram-se descritos na cláusula Ressarcimento por Violação da Garantia supra até aos limites contemplados nas leis vigentes localmente.</w:t>
      </w:r>
    </w:p>
    <w:p w:rsidR="005E7217" w:rsidRPr="00C52CA4" w:rsidRDefault="00C0129E" w:rsidP="00C52CA4">
      <w:pPr>
        <w:pStyle w:val="Default"/>
        <w:spacing w:before="120" w:after="120"/>
        <w:ind w:left="360"/>
        <w:rPr>
          <w:sz w:val="20"/>
          <w:szCs w:val="20"/>
        </w:rPr>
      </w:pPr>
      <w:r>
        <w:rPr>
          <w:b/>
          <w:sz w:val="20"/>
        </w:rPr>
        <w:t>APENAS PARA A AUSTRÁLIA.</w:t>
      </w:r>
      <w:r>
        <w:rPr>
          <w:sz w:val="20"/>
        </w:rPr>
        <w:t xml:space="preserve"> As referências à "Garantia Limitada" são referências à garantia </w:t>
      </w:r>
      <w:r>
        <w:rPr>
          <w:sz w:val="20"/>
        </w:rPr>
        <w:lastRenderedPageBreak/>
        <w:t>fornecida pela Microsoft. Esta garantia é fornecida para além de outros direitos e ressarcimentos aos quais o Adquirente tenha direito ao abrigo da lei, incluindo os seus direitos e ressarcimentos em conformidade com as garantias legais ao abrigo da Lei para Consumidores da Austrália. Os artigos da Microsoft são fornecidos com garantias que não podem ser excluídas ao abrigo da Lei para Consumidores da Austrália. O Adquirente tem direito à obtenção de uma substituição ou reembolso no caso de falha grave e de uma compensação por qualquer outra perda ou dano considerado razoavelmente previsível. O Adquirente tem também direito à reparação ou à substituição dos artigos se estes não forem de qualidade aceitável e se a falha não originar uma falha grave. Os produtos apresentados para reparação poderão ser substituídos por produtos restaurados do mesmo tipo em vez de serem substituídos. As peças restauradas poderão ser utilizadas para reparar os produtos.</w:t>
      </w:r>
    </w:p>
    <w:p w:rsidR="005E7217" w:rsidRPr="00C52CA4" w:rsidRDefault="00C0129E" w:rsidP="00C52CA4">
      <w:pPr>
        <w:pStyle w:val="Default"/>
        <w:numPr>
          <w:ilvl w:val="0"/>
          <w:numId w:val="24"/>
        </w:numPr>
        <w:tabs>
          <w:tab w:val="left" w:pos="360"/>
        </w:tabs>
        <w:spacing w:before="120" w:after="120"/>
        <w:ind w:left="360"/>
        <w:rPr>
          <w:sz w:val="20"/>
          <w:szCs w:val="20"/>
        </w:rPr>
      </w:pPr>
      <w:r>
        <w:rPr>
          <w:b/>
          <w:sz w:val="20"/>
        </w:rPr>
        <w:t>LIMITAÇÃO E EXCLUSÃO DE DANOS POR VIOLAÇÃO DA GARANTIA. A LIMITAÇÃO E A EXCLUSÃO À CLÁUSULA DOS DANOS NA SECÇÃO III APLICA-SE A VIOLAÇÕES DESTA GARANTIA LIMITADA.</w:t>
      </w:r>
    </w:p>
    <w:p w:rsidR="005E7217" w:rsidRPr="00C52CA4" w:rsidRDefault="00C0129E" w:rsidP="00C52CA4">
      <w:pPr>
        <w:pStyle w:val="Default"/>
        <w:spacing w:before="120" w:after="120"/>
        <w:ind w:left="360"/>
        <w:rPr>
          <w:b/>
          <w:sz w:val="20"/>
          <w:szCs w:val="20"/>
        </w:rPr>
      </w:pPr>
      <w:r>
        <w:rPr>
          <w:b/>
          <w:sz w:val="20"/>
        </w:rPr>
        <w:t>A PRESENTE GARANTIA CONCEDE AO ADQUIRENTE DIREITOS LEGAIS ESPECÍFICOS, PODENDO TAMBÉM BENEFICIAR DE OUTROS DIREITOS QUE VARIAM DE ESTADO PARA ESTADO. O ADQUIRENTE PODERÁ TAMBÉM BENEFICIAR DE OUTROS DIREITOS QUE VARIAM CONSOANTE O PAÍS OU REGIÃO.</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C0129E" w:rsidP="00C52CA4">
      <w:pPr>
        <w:pStyle w:val="Default"/>
        <w:spacing w:before="120" w:after="120"/>
        <w:rPr>
          <w:sz w:val="20"/>
          <w:szCs w:val="20"/>
        </w:rPr>
      </w:pPr>
      <w:r>
        <w:rPr>
          <w:b/>
          <w:sz w:val="20"/>
        </w:rPr>
        <w:t xml:space="preserve">SECÇÃO III. TERMOS GERAIS. </w:t>
      </w:r>
      <w:r>
        <w:rPr>
          <w:sz w:val="20"/>
        </w:rPr>
        <w:t>Os termos nesta Secção aplicam-se a todas as edições do software indicado acima.</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COMPONENTES DE TERCEIROS. </w:t>
      </w:r>
      <w:r>
        <w:rPr>
          <w:sz w:val="20"/>
        </w:rPr>
        <w:t xml:space="preserve">O software pode incluir componentes de terceiros com notificações legais separadas ou reguladas por outros contratos, conforme descrito no(s) ficheiro(s) ThirdPartyNotices que acompanha(m) o software. </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GESTORES DE PACOTES. </w:t>
      </w:r>
      <w:r>
        <w:rPr>
          <w:sz w:val="20"/>
        </w:rPr>
        <w:t>O software pode incluir gestores de pacotes, como o NuGet, que permitem transferir outros pacotes de software da Microsoft e de terceiros para utilizar com a sua aplicação. Esses pacotes estão sujeitos a licenças próprias e não ao presente contrato. A Microsoft não distribui, licencia ou fornece quaisquer garantias para quaisquer pacotes de terceiros.</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CÓDIGO DISTRIBUÍVEL. </w:t>
      </w:r>
      <w:r>
        <w:rPr>
          <w:sz w:val="20"/>
        </w:rPr>
        <w:t xml:space="preserve">O software contém código que o Adquirente poderá distribuir em aplicações desenvolvidas pelo mesmo, conforme descrito nesta Secção. (Para esta Secção, o termo </w:t>
      </w:r>
      <w:r>
        <w:rPr>
          <w:sz w:val="20"/>
          <w:cs/>
        </w:rPr>
        <w:t>“</w:t>
      </w:r>
      <w:r>
        <w:rPr>
          <w:sz w:val="20"/>
        </w:rPr>
        <w:t>distribuição</w:t>
      </w:r>
      <w:r>
        <w:rPr>
          <w:sz w:val="20"/>
          <w:cs/>
        </w:rPr>
        <w:t xml:space="preserve">” </w:t>
      </w:r>
      <w:r>
        <w:rPr>
          <w:sz w:val="20"/>
        </w:rPr>
        <w:t>também significa implementação das aplicações do Adquirente para terceiros acederem pela internet.)</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Direito de Utilização e Distribuição. </w:t>
      </w:r>
      <w:r>
        <w:rPr>
          <w:sz w:val="20"/>
        </w:rPr>
        <w:t>O código e os ficheiros de texto listados abaixo são</w:t>
      </w:r>
      <w:r>
        <w:rPr>
          <w:b/>
          <w:sz w:val="20"/>
        </w:rPr>
        <w:t> </w:t>
      </w:r>
      <w:r>
        <w:rPr>
          <w:b/>
          <w:sz w:val="20"/>
          <w:cs/>
        </w:rPr>
        <w:t>“</w:t>
      </w:r>
      <w:r>
        <w:rPr>
          <w:b/>
          <w:sz w:val="20"/>
        </w:rPr>
        <w:t>Código Distribuível</w:t>
      </w:r>
      <w:r>
        <w:rPr>
          <w:b/>
          <w:sz w:val="20"/>
          <w:cs/>
        </w:rPr>
        <w:t>”</w:t>
      </w:r>
      <w:r>
        <w:rPr>
          <w:b/>
          <w:sz w:val="20"/>
        </w:rPr>
        <w:t>.</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u w:val="single"/>
        </w:rPr>
        <w:t xml:space="preserve">Ficheiros REDIST.TXT. </w:t>
      </w:r>
      <w:r>
        <w:rPr>
          <w:sz w:val="20"/>
        </w:rPr>
        <w:t>O Adquirente poderá copiar e distribuir o formato de código de objeto do código apresentado na lista REDIST localizada em </w:t>
      </w:r>
      <w:hyperlink r:id="rId14" w:history="1">
        <w:r>
          <w:rPr>
            <w:rStyle w:val="Hyperlink"/>
            <w:sz w:val="20"/>
          </w:rPr>
          <w:t>https://go.microsoft.com/fwlink/?linkid=823097</w:t>
        </w:r>
      </w:hyperlink>
      <w:r>
        <w:rPr>
          <w:sz w:val="20"/>
        </w:rPr>
        <w:t>.</w:t>
      </w:r>
    </w:p>
    <w:p w:rsidR="0034315C" w:rsidRPr="00C52CA4" w:rsidRDefault="00C0129E" w:rsidP="00C52CA4">
      <w:pPr>
        <w:pStyle w:val="Default"/>
        <w:numPr>
          <w:ilvl w:val="0"/>
          <w:numId w:val="20"/>
        </w:numPr>
        <w:tabs>
          <w:tab w:val="left" w:pos="1080"/>
        </w:tabs>
        <w:spacing w:before="120" w:after="120"/>
        <w:ind w:left="1080"/>
        <w:rPr>
          <w:sz w:val="20"/>
          <w:szCs w:val="20"/>
        </w:rPr>
      </w:pPr>
      <w:r>
        <w:rPr>
          <w:sz w:val="20"/>
          <w:u w:val="single"/>
        </w:rPr>
        <w:t>Código Exemplo e Modelos</w:t>
      </w:r>
      <w:r>
        <w:rPr>
          <w:sz w:val="20"/>
        </w:rPr>
        <w:t xml:space="preserve">. O Adquirente poderá copiar, modificar e distribuir a origem e o formato do código objeto de qualquer código marcado como </w:t>
      </w:r>
      <w:r>
        <w:rPr>
          <w:sz w:val="20"/>
          <w:cs/>
        </w:rPr>
        <w:t>”</w:t>
      </w:r>
      <w:r>
        <w:rPr>
          <w:sz w:val="20"/>
        </w:rPr>
        <w:t>exemplo</w:t>
      </w:r>
      <w:r>
        <w:rPr>
          <w:sz w:val="20"/>
          <w:cs/>
        </w:rPr>
        <w:t xml:space="preserve">” </w:t>
      </w:r>
      <w:r>
        <w:rPr>
          <w:sz w:val="20"/>
        </w:rPr>
        <w:t>ou "modelo".</w:t>
      </w:r>
    </w:p>
    <w:p w:rsidR="0034315C" w:rsidRPr="00C52CA4" w:rsidRDefault="00C0129E" w:rsidP="00C52CA4">
      <w:pPr>
        <w:pStyle w:val="Default"/>
        <w:numPr>
          <w:ilvl w:val="0"/>
          <w:numId w:val="20"/>
        </w:numPr>
        <w:tabs>
          <w:tab w:val="left" w:pos="1080"/>
        </w:tabs>
        <w:spacing w:before="120" w:after="120"/>
        <w:ind w:left="1080"/>
        <w:rPr>
          <w:sz w:val="20"/>
          <w:szCs w:val="20"/>
        </w:rPr>
      </w:pPr>
      <w:r>
        <w:rPr>
          <w:sz w:val="20"/>
          <w:u w:val="single"/>
        </w:rPr>
        <w:t>Biblioteca de Imagens</w:t>
      </w:r>
      <w:r>
        <w:rPr>
          <w:sz w:val="20"/>
        </w:rPr>
        <w:t>. O Adquirente pode copiar e distribuir as imagens, gráficos e animações na Biblioteca de Imagens, tal como descrito na documentação do software. </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u w:val="single"/>
        </w:rPr>
        <w:t>Distribuição por Terceiros</w:t>
      </w:r>
      <w:r>
        <w:rPr>
          <w:sz w:val="20"/>
        </w:rPr>
        <w:t xml:space="preserve">. É possível permitir aos distribuidores das aplicações do Adquirente </w:t>
      </w:r>
      <w:r>
        <w:rPr>
          <w:sz w:val="20"/>
        </w:rPr>
        <w:lastRenderedPageBreak/>
        <w:t xml:space="preserve">que copiem e distribuam o Código Distribuível como fazendo parte dessas aplicações. </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 xml:space="preserve">Requisitos de Distribuição. </w:t>
      </w:r>
      <w:r>
        <w:rPr>
          <w:sz w:val="20"/>
        </w:rPr>
        <w:t>Para qualquer Código Distribuível que o Adquirente distribua, terá de:</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rPr>
        <w:t xml:space="preserve">adicionar uma funcionalidade principal significativa nas suas aplicações; </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rPr>
        <w:t>requerer que os distribuidores e utilizadores finais externos concordem com os termos que protegem o Código Distribuível e, pelo menos tanto como o presente contrato; e</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rPr>
        <w:t>indemnizar, defender e proteger a Microsoft de quaisquer queixas ou processos, incluindo os honorários dos advogados, relacionados com a distribuição ou utilização das suas aplicações, exceto na medida em que qualquer ação judicial se baseie unicamente no Código Distribuível.</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Restrições à Distribuição.</w:t>
      </w:r>
      <w:r>
        <w:rPr>
          <w:sz w:val="20"/>
        </w:rPr>
        <w:t xml:space="preserve"> O Adquirente não poderá:</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rPr>
        <w:t>utilizar marcas comerciais da Microsoft nos respetivos nomes de aplicações ou de uma forma que sugira que as aplicações são provenientes ou aprovadas pela Microsoft;</w:t>
      </w:r>
    </w:p>
    <w:p w:rsidR="005E7217" w:rsidRPr="00C52CA4" w:rsidRDefault="00C0129E" w:rsidP="00C52CA4">
      <w:pPr>
        <w:pStyle w:val="Default"/>
        <w:numPr>
          <w:ilvl w:val="0"/>
          <w:numId w:val="20"/>
        </w:numPr>
        <w:tabs>
          <w:tab w:val="left" w:pos="1080"/>
        </w:tabs>
        <w:spacing w:before="120" w:after="120"/>
        <w:ind w:left="1080"/>
        <w:rPr>
          <w:sz w:val="20"/>
          <w:szCs w:val="20"/>
        </w:rPr>
      </w:pPr>
      <w:r>
        <w:rPr>
          <w:sz w:val="20"/>
        </w:rPr>
        <w:t>modificar ou distribuir o código fonte de qualquer Código Distribuível de modo que qualquer parte fique sujeita a uma Licença Excluída. Uma "Licença Excluída" é uma licença que requer, como condição de utilização, modificação ou distribuição, que (i) o código seja revelado ou distribuído no formato de código fonte ou (ii) terceiros tenham o direito de modificá-lo.</w:t>
      </w:r>
    </w:p>
    <w:p w:rsidR="003B27BE" w:rsidRDefault="00C0129E" w:rsidP="00C52CA4">
      <w:pPr>
        <w:pStyle w:val="Default"/>
        <w:numPr>
          <w:ilvl w:val="0"/>
          <w:numId w:val="25"/>
        </w:numPr>
        <w:tabs>
          <w:tab w:val="left" w:pos="360"/>
        </w:tabs>
        <w:spacing w:before="120" w:after="120"/>
        <w:ind w:left="360"/>
        <w:rPr>
          <w:sz w:val="20"/>
          <w:szCs w:val="20"/>
        </w:rPr>
      </w:pPr>
      <w:r>
        <w:rPr>
          <w:b/>
          <w:sz w:val="20"/>
        </w:rPr>
        <w:t xml:space="preserve">DADOS. </w:t>
      </w:r>
    </w:p>
    <w:p w:rsidR="005E7217" w:rsidRDefault="00C0129E" w:rsidP="00143E32">
      <w:pPr>
        <w:pStyle w:val="Default"/>
        <w:numPr>
          <w:ilvl w:val="1"/>
          <w:numId w:val="25"/>
        </w:numPr>
        <w:tabs>
          <w:tab w:val="left" w:pos="720"/>
        </w:tabs>
        <w:spacing w:before="120" w:after="120"/>
        <w:rPr>
          <w:sz w:val="20"/>
          <w:szCs w:val="20"/>
        </w:rPr>
      </w:pPr>
      <w:r>
        <w:rPr>
          <w:b/>
          <w:sz w:val="20"/>
        </w:rPr>
        <w:t>Recolha de Dados</w:t>
      </w:r>
      <w:r>
        <w:rPr>
          <w:sz w:val="20"/>
        </w:rPr>
        <w:t>. O software pode recolher informações sobre o Adquirente e a sua utilização do software, e enviá-las para a Microsoft e respetivas afiliadas. A Microsoft poderá utilizar estas informações para fornecer serviços e melhorar os nossos produtos e serviços. O Adquirente poderá recusar muitos destes cenários, mas não todos, conforme descrito na documentação dos produtos. Também existem a</w:t>
      </w:r>
      <w:r>
        <w:rPr>
          <w:color w:val="000000"/>
          <w:sz w:val="20"/>
        </w:rPr>
        <w:t xml:space="preserve">lgumas funcionalidades no software que poderão permitir ao Adquirente e à Microsoft recolher dados de utilizadores das suas aplicações. Se o Adquirente utilizar estas funcionalidades, deverá cumprir a lei aplicável, incluindo o fornecimento de notificações apropriadas aos utilizadores das suas aplicações juntamente com a declaração de privacidade da Microsoft. A nossa declaração de privacidade encontra-se em </w:t>
      </w:r>
      <w:r>
        <w:rPr>
          <w:rStyle w:val="Hyperlink"/>
          <w:sz w:val="20"/>
        </w:rPr>
        <w:t>http://go.microsoft.com/fwlink/?LinkID=528096&amp;clcid=0x409</w:t>
      </w:r>
      <w:r>
        <w:rPr>
          <w:sz w:val="20"/>
        </w:rPr>
        <w:t>. O Adquirente pode obter mais informações sobre a recolha e utilização dos dados na documentação de ajuda e na nossa declaração de privacidade. A utilização do software por parte do Adquirente funciona como o consentimento do Adquirente destas práticas.</w:t>
      </w:r>
    </w:p>
    <w:p w:rsidR="003B27BE" w:rsidRPr="00493EDA" w:rsidRDefault="00C0129E" w:rsidP="00493EDA">
      <w:pPr>
        <w:pStyle w:val="Default"/>
        <w:numPr>
          <w:ilvl w:val="1"/>
          <w:numId w:val="25"/>
        </w:numPr>
        <w:tabs>
          <w:tab w:val="left" w:pos="720"/>
        </w:tabs>
        <w:spacing w:before="120" w:after="120"/>
        <w:ind w:left="720"/>
        <w:rPr>
          <w:sz w:val="20"/>
          <w:szCs w:val="20"/>
        </w:rPr>
      </w:pPr>
      <w:r>
        <w:rPr>
          <w:b/>
          <w:sz w:val="20"/>
        </w:rPr>
        <w:t>Tratamento de Dados Pessoais.</w:t>
      </w:r>
      <w:r>
        <w:rPr>
          <w:sz w:val="20"/>
        </w:rPr>
        <w:t xml:space="preserve"> Na medida em que a Microsoft é um processador ou subprocessador de dados pessoais associado ao software, a Microsoft assume os compromissos presentes nos Termos do Regulamento Geral de Proteção de Dados da União Europeia dos Termos de Serviços Online perante todos os clientes a partir de 25 de maio de 2018, em http://go.microsoft.com/?linkid=9840733.</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ÂMBITO DA LICENÇA. </w:t>
      </w:r>
      <w:r>
        <w:rPr>
          <w:sz w:val="20"/>
        </w:rPr>
        <w:t xml:space="preserve">O software é licenciado e não vendido. Este contrato concede ao Adquirente apenas alguns direitos de utilização do software. A Microsoft reserva-se todos os outros direitos. Salvo se a legislação em vigor conferir mais direitos, não obstante esta limitação, o Adquirente pode apenas utilizar o software conforme expressamente permitido no presente contrato. Ao fazê-lo, o Adquirente terá de cumprir quaisquer limitações técnicas no software que só lhe permitam utilizá-lo </w:t>
      </w:r>
      <w:r>
        <w:rPr>
          <w:sz w:val="20"/>
        </w:rPr>
        <w:lastRenderedPageBreak/>
        <w:t>de certas formas. O Adquirente não poderá:</w:t>
      </w:r>
    </w:p>
    <w:p w:rsidR="005E7217" w:rsidRPr="00C52CA4" w:rsidRDefault="00C0129E" w:rsidP="00C52CA4">
      <w:pPr>
        <w:pStyle w:val="Default"/>
        <w:numPr>
          <w:ilvl w:val="0"/>
          <w:numId w:val="22"/>
        </w:numPr>
        <w:tabs>
          <w:tab w:val="left" w:pos="720"/>
        </w:tabs>
        <w:spacing w:before="120" w:after="120"/>
        <w:ind w:left="720"/>
        <w:rPr>
          <w:sz w:val="20"/>
          <w:szCs w:val="20"/>
        </w:rPr>
      </w:pPr>
      <w:r>
        <w:rPr>
          <w:sz w:val="20"/>
        </w:rPr>
        <w:t>solucionar quaisquer limitações técnicas no software;</w:t>
      </w:r>
    </w:p>
    <w:p w:rsidR="005E7217" w:rsidRPr="00C52CA4" w:rsidRDefault="00C0129E" w:rsidP="00C52CA4">
      <w:pPr>
        <w:pStyle w:val="Default"/>
        <w:numPr>
          <w:ilvl w:val="0"/>
          <w:numId w:val="22"/>
        </w:numPr>
        <w:tabs>
          <w:tab w:val="left" w:pos="720"/>
        </w:tabs>
        <w:spacing w:before="120" w:after="120"/>
        <w:ind w:left="720"/>
        <w:rPr>
          <w:sz w:val="20"/>
          <w:szCs w:val="20"/>
        </w:rPr>
      </w:pPr>
      <w:r>
        <w:rPr>
          <w:sz w:val="20"/>
        </w:rPr>
        <w:t>proceder a engenharia inversa, descompilar ou desassemblar o software, ou de alguma forma tentar obter o código fonte do software, exceto e apenas na medida em tal seja exigido por termos de licenciamento de terceiros que regulem a utilização de determinados componentes open source que possam estar incluídos no software.</w:t>
      </w:r>
    </w:p>
    <w:p w:rsidR="005E7217" w:rsidRPr="00C52CA4" w:rsidRDefault="00C0129E" w:rsidP="00C52CA4">
      <w:pPr>
        <w:pStyle w:val="Default"/>
        <w:numPr>
          <w:ilvl w:val="0"/>
          <w:numId w:val="22"/>
        </w:numPr>
        <w:tabs>
          <w:tab w:val="left" w:pos="720"/>
        </w:tabs>
        <w:spacing w:before="120" w:after="120"/>
        <w:ind w:left="720"/>
        <w:rPr>
          <w:sz w:val="20"/>
          <w:szCs w:val="20"/>
        </w:rPr>
      </w:pPr>
      <w:r>
        <w:rPr>
          <w:sz w:val="20"/>
        </w:rPr>
        <w:t>remover, minimizar, bloquear ou modificar quaisquer notificações da Microsoft ou dos seus fornecedores no software;</w:t>
      </w:r>
    </w:p>
    <w:p w:rsidR="005E7217" w:rsidRPr="00C52CA4" w:rsidRDefault="00C0129E" w:rsidP="00C52CA4">
      <w:pPr>
        <w:pStyle w:val="Default"/>
        <w:numPr>
          <w:ilvl w:val="0"/>
          <w:numId w:val="22"/>
        </w:numPr>
        <w:tabs>
          <w:tab w:val="left" w:pos="720"/>
        </w:tabs>
        <w:spacing w:before="120" w:after="120"/>
        <w:ind w:left="720"/>
        <w:rPr>
          <w:sz w:val="20"/>
          <w:szCs w:val="20"/>
        </w:rPr>
      </w:pPr>
      <w:r>
        <w:rPr>
          <w:sz w:val="20"/>
        </w:rPr>
        <w:t>utilizar o software de forma contrária à lei; ou</w:t>
      </w:r>
    </w:p>
    <w:p w:rsidR="005E7217" w:rsidRPr="00C52CA4" w:rsidRDefault="00C0129E" w:rsidP="00C52CA4">
      <w:pPr>
        <w:pStyle w:val="Default"/>
        <w:numPr>
          <w:ilvl w:val="0"/>
          <w:numId w:val="22"/>
        </w:numPr>
        <w:tabs>
          <w:tab w:val="left" w:pos="720"/>
        </w:tabs>
        <w:spacing w:before="120" w:after="120"/>
        <w:ind w:left="720"/>
        <w:rPr>
          <w:sz w:val="20"/>
          <w:szCs w:val="20"/>
        </w:rPr>
      </w:pPr>
      <w:r>
        <w:rPr>
          <w:sz w:val="20"/>
        </w:rPr>
        <w:t>partilhar, publicar, arrendar ou alocar o software, ou fornecer o software como uma solução autónoma para utilização de terceiros.</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RESTRIÇÕES À EXPORTAÇÃO. </w:t>
      </w:r>
      <w:r>
        <w:rPr>
          <w:sz w:val="20"/>
        </w:rPr>
        <w:t xml:space="preserve">Terá de cumprir todas as leis e normas de exportação locais e internacionais que se apliquem ao software, que incluem restrições sobre destinos, utilizadores finais e utilização final. Para mais informações sobre as restrições à exportação, visite </w:t>
      </w:r>
      <w:hyperlink r:id="rId15" w:history="1">
        <w:r>
          <w:rPr>
            <w:rStyle w:val="Hyperlink"/>
            <w:sz w:val="20"/>
          </w:rPr>
          <w:t>www.microsoft.com/exporting</w:t>
        </w:r>
      </w:hyperlink>
      <w:r>
        <w:rPr>
          <w:sz w:val="20"/>
        </w:rPr>
        <w:t>.</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CONTRATO INTEGRAL. </w:t>
      </w:r>
      <w:r>
        <w:rPr>
          <w:sz w:val="20"/>
        </w:rPr>
        <w:t>O presente contrato (incluindo a garantia acima) e os termos para os suplementos, atualizações, serviços baseados na internet e suporte técnico, constituem o contrato integral para o software e suporte técnico.</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LEI APLICÁVEL. </w:t>
      </w:r>
      <w:r>
        <w:rPr>
          <w:sz w:val="20"/>
        </w:rPr>
        <w:t>Caso o Adquirente tenha adquirido o software nos Estados Unidos, são aplicáveis as leis do Estado de Washington à interpretação do presente contrato e às ações judiciais instauradas por violação do mesmo, sendo as leis da região ou do país em que o Adquirente vive aplicáveis a todas as outras ações. Se o software tiver sido adquirido noutro país ou região, aplicam-se as leis desse país ou região.</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 xml:space="preserve">DIREITOS DO CONSUMIDOR; VARIAÇÕES REGIONAIS. </w:t>
      </w:r>
      <w:r>
        <w:rPr>
          <w:sz w:val="20"/>
        </w:rPr>
        <w:t>O presente contrato descreve determinados direitos legais. O Adquirente poderá ter outros direitos, incluindo direitos de consumidor, ao abrigo das leis do seu país ou região. Separados e fora do âmbito da relação entre o Adquirente e a Microsoft, o Adquirente também poderá ter direitos relativamente à entidade a partir da qual foi adquirido o software. O presente contrato não altera esses outros direitos se as leis do país ou região do Adquirente não o permitirem. Por exemplo, se o Adquirente tiver adquirido o software numa das regiões abaixo ou se se aplicar a lei obrigatória do país, as seguintes disposições aplicar-se-ão ao Adquirente:</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 xml:space="preserve">Austrália. </w:t>
      </w:r>
      <w:r>
        <w:rPr>
          <w:sz w:val="20"/>
        </w:rPr>
        <w:t>As referências à "Garantia Limitada" são referências à garantia expressa fornecida pela Microsoft ou pelo fabricante ou instalador. Esta garantia é fornecida para além de outros direitos e ressarcimentos aos quais o Adquirente tenha direito ao abrigo da lei, incluindo os seus direitos e ressarcimentos em conformidade com as garantias legais ao abrigo da Lei para Consumidores da Austrália.</w:t>
      </w:r>
    </w:p>
    <w:p w:rsidR="005E7217" w:rsidRPr="00C52CA4" w:rsidRDefault="00C0129E" w:rsidP="00C52CA4">
      <w:pPr>
        <w:pStyle w:val="Default"/>
        <w:spacing w:before="120" w:after="120"/>
        <w:ind w:left="720"/>
        <w:rPr>
          <w:sz w:val="20"/>
          <w:szCs w:val="20"/>
        </w:rPr>
      </w:pPr>
      <w:r>
        <w:rPr>
          <w:sz w:val="20"/>
        </w:rPr>
        <w:t xml:space="preserve">Nesta Secção, por "artigos" entende-se o software para o qual a Microsoft ou o fabricante ou instalador fornece a garantia expressa. Os artigos da Microsoft são fornecidos com garantias que não podem ser excluídas ao abrigo da Lei para Consumidores da Austrália. O Adquirente tem direito à obtenção de uma substituição ou reembolso no caso de falha grave e de uma compensação por qualquer outra perda ou dano considerado razoavelmente previsível. O Adquirente tem também direito à reparação ou à substituição dos artigos se estes não forem de </w:t>
      </w:r>
      <w:r>
        <w:rPr>
          <w:sz w:val="20"/>
        </w:rPr>
        <w:lastRenderedPageBreak/>
        <w:t>qualidade aceitável e se a falha não originar uma falha grave.</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Canadá.</w:t>
      </w:r>
      <w:r>
        <w:rPr>
          <w:sz w:val="20"/>
        </w:rPr>
        <w:t xml:space="preserve"> Se o Adquirente adquiriu o presente software no Canadá, poderá deixar de receber atualizações ao desativar a funcionalidade de atualizações automáticas, ao desligar o dispositivo da internet (no entanto, se e quando voltar a estabelecer ligação à internet, o software retomará a procura e instalação das atualizações) ou ao desinstalar o software. A documentação do produto, se existir, também poderá especificar como desativar as atualizações para cada dispositivo ou software específico.</w:t>
      </w:r>
    </w:p>
    <w:p w:rsidR="005E7217" w:rsidRPr="00C52CA4" w:rsidRDefault="00C0129E" w:rsidP="00C52CA4">
      <w:pPr>
        <w:pStyle w:val="Default"/>
        <w:numPr>
          <w:ilvl w:val="1"/>
          <w:numId w:val="25"/>
        </w:numPr>
        <w:tabs>
          <w:tab w:val="left" w:pos="720"/>
        </w:tabs>
        <w:spacing w:before="120" w:after="120"/>
        <w:ind w:left="720"/>
        <w:rPr>
          <w:sz w:val="20"/>
          <w:szCs w:val="20"/>
        </w:rPr>
      </w:pPr>
      <w:r>
        <w:rPr>
          <w:b/>
          <w:sz w:val="20"/>
        </w:rPr>
        <w:t>Alemanha e Áustria.</w:t>
      </w:r>
    </w:p>
    <w:p w:rsidR="005E7217" w:rsidRPr="00C52CA4" w:rsidRDefault="00C0129E"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Garantia</w:t>
      </w:r>
      <w:r>
        <w:rPr>
          <w:rFonts w:ascii="Tahoma" w:hAnsi="Tahoma"/>
          <w:sz w:val="20"/>
        </w:rPr>
        <w:t>. O software devidamente licenciado funcionará substancialmente consoante o descrito nos materiais da Microsoft que acompanham o software. No entanto, a Microsoft não concede nenhuma garantia contratual em relação ao software licenciado.</w:t>
      </w:r>
    </w:p>
    <w:p w:rsidR="005E7217" w:rsidRPr="00C52CA4" w:rsidRDefault="00C0129E"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Limitação de Responsabilidade</w:t>
      </w:r>
      <w:r>
        <w:rPr>
          <w:rFonts w:ascii="Tahoma" w:hAnsi="Tahoma"/>
          <w:sz w:val="20"/>
        </w:rPr>
        <w:t>. Em caso de conduta intencional, negligência grosseira, queixas baseadas na Lei sobre Responsabilidade por Produtos, bem como em caso de morte ou ofensas à integridade física, a Microsoft é responsável pelo cumprimento da lei aplicável.</w:t>
      </w:r>
    </w:p>
    <w:p w:rsidR="005E7217" w:rsidRPr="00C52CA4" w:rsidRDefault="00C0129E" w:rsidP="00C52CA4">
      <w:pPr>
        <w:pStyle w:val="Default"/>
        <w:spacing w:before="120" w:after="120"/>
        <w:ind w:left="717"/>
        <w:rPr>
          <w:sz w:val="20"/>
          <w:szCs w:val="20"/>
        </w:rPr>
      </w:pPr>
      <w:r>
        <w:rPr>
          <w:sz w:val="20"/>
        </w:rPr>
        <w:t xml:space="preserve">Sujeitos à cláusula precedente (ii), nos casos de negligência ligeira, a Microsoft só será responsável se violar as obrigações contratuais, cujo cumprimento permite a boa execução do presente contrato e cuja violação pode colocar em risco o objetivo deste contrato, com cujo cumprimento uma parte está sempre a contar (conhecidas como </w:t>
      </w:r>
      <w:r>
        <w:rPr>
          <w:sz w:val="20"/>
          <w:cs/>
        </w:rPr>
        <w:t>“</w:t>
      </w:r>
      <w:r>
        <w:rPr>
          <w:sz w:val="20"/>
        </w:rPr>
        <w:t>obrigações fundamentais</w:t>
      </w:r>
      <w:r>
        <w:rPr>
          <w:sz w:val="20"/>
          <w:cs/>
        </w:rPr>
        <w:t>“</w:t>
      </w:r>
      <w:r>
        <w:rPr>
          <w:sz w:val="20"/>
        </w:rPr>
        <w:t>). A Microsoft não será responsável em todos os outros casos de negligência ligeira.</w:t>
      </w:r>
    </w:p>
    <w:p w:rsidR="005E7217" w:rsidRPr="00C52CA4" w:rsidRDefault="00C0129E" w:rsidP="00C52CA4">
      <w:pPr>
        <w:pStyle w:val="Default"/>
        <w:numPr>
          <w:ilvl w:val="0"/>
          <w:numId w:val="25"/>
        </w:numPr>
        <w:tabs>
          <w:tab w:val="left" w:pos="360"/>
        </w:tabs>
        <w:spacing w:before="120" w:after="120"/>
        <w:ind w:left="360"/>
        <w:rPr>
          <w:sz w:val="20"/>
          <w:szCs w:val="20"/>
        </w:rPr>
      </w:pPr>
      <w:r>
        <w:rPr>
          <w:b/>
          <w:sz w:val="20"/>
        </w:rPr>
        <w:t>LIMITAÇÃO E EXCLUSÃO DE DANOS. A MICROSOFT E RESPETIVOS FORNECEDORES RESSARCIRÃO O ADQUIRENTE APENAS POR DANOS DIRETOS E ATÉ AO MONTANTE MAIS ELEVADO QUE PAGOU PELO SOFTWARE OU 5,00 DÓLARES. O ADQUIRENTE NÃO PODERÁ RECUPERAR QUAISQUER OUTROS DANOS, INCLUINDO PREJUÍZOS CONSEQUENTES, LUCROS PERDIDOS, PREJUÍZOS EXTRAORDINÁRIOS, INDIRETOS OU INCIDENTAIS.</w:t>
      </w:r>
    </w:p>
    <w:p w:rsidR="005E7217" w:rsidRPr="00C52CA4" w:rsidRDefault="00C0129E" w:rsidP="00C52CA4">
      <w:pPr>
        <w:pStyle w:val="Heading1"/>
        <w:spacing w:before="120" w:after="120"/>
        <w:ind w:left="360" w:hanging="3"/>
        <w:rPr>
          <w:sz w:val="20"/>
          <w:szCs w:val="20"/>
        </w:rPr>
      </w:pPr>
      <w:r>
        <w:rPr>
          <w:sz w:val="20"/>
        </w:rPr>
        <w:t>Esta limitação aplica-se a (a) qualquer assunto relacionado com o software, serviços, conteúdo (incluindo o código) em sites da internet de terceiros ou aplicações de terceiros; e (b) ações judiciais por violação do contrato, violação da garantia ou condição, responsabilidade objetiva, negligência ou outro ato ilícito, ou a qualquer outro litígio, em cada caso na medida do permitido pela lei aplicável.</w:t>
      </w:r>
    </w:p>
    <w:p w:rsidR="005E7217" w:rsidRPr="00C52CA4" w:rsidRDefault="00C0129E" w:rsidP="00C52CA4">
      <w:pPr>
        <w:pStyle w:val="Heading1"/>
        <w:spacing w:before="120" w:after="120"/>
        <w:ind w:left="360" w:hanging="3"/>
        <w:rPr>
          <w:sz w:val="20"/>
          <w:szCs w:val="20"/>
        </w:rPr>
      </w:pPr>
      <w:r>
        <w:rPr>
          <w:sz w:val="20"/>
        </w:rPr>
        <w:t>Aplica-se também se a Microsoft tinha ou devesse ter conhecimento sobre a possibilidade de ocorrência de danos. A limitação ou exclusão supra mencionada poderá não ser aplicável ao Adquirente por o país ou região em que reside não permitir a exclusão ou limitação de danos incidentais, consequentes ou outros.</w:t>
      </w:r>
    </w:p>
    <w:p w:rsidR="000A129C" w:rsidRPr="00C52CA4" w:rsidRDefault="000A129C" w:rsidP="00C52CA4">
      <w:pPr>
        <w:pStyle w:val="Heading1"/>
        <w:spacing w:before="120" w:after="120"/>
        <w:ind w:left="360" w:hanging="3"/>
        <w:rPr>
          <w:sz w:val="20"/>
          <w:szCs w:val="20"/>
        </w:rPr>
      </w:pPr>
    </w:p>
    <w:p w:rsidR="005E7217" w:rsidRPr="00C52CA4" w:rsidRDefault="00C0129E" w:rsidP="00C52CA4">
      <w:pPr>
        <w:pStyle w:val="Heading1"/>
        <w:spacing w:before="120" w:after="120"/>
        <w:ind w:left="360" w:hanging="3"/>
        <w:rPr>
          <w:sz w:val="20"/>
          <w:szCs w:val="20"/>
        </w:rPr>
      </w:pPr>
      <w:r>
        <w:rPr>
          <w:sz w:val="20"/>
        </w:rPr>
        <w:t>ID DO EULA: Visual Studio para Mac 23 março de 2018</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F9" w:rsidRDefault="008C38F9" w:rsidP="00A741F2">
      <w:pPr>
        <w:spacing w:after="0" w:line="240" w:lineRule="auto"/>
      </w:pPr>
      <w:r>
        <w:separator/>
      </w:r>
    </w:p>
  </w:endnote>
  <w:endnote w:type="continuationSeparator" w:id="0">
    <w:p w:rsidR="008C38F9" w:rsidRDefault="008C38F9"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F9" w:rsidRDefault="008C38F9" w:rsidP="00A741F2">
      <w:pPr>
        <w:spacing w:after="0" w:line="240" w:lineRule="auto"/>
      </w:pPr>
      <w:r>
        <w:separator/>
      </w:r>
    </w:p>
  </w:footnote>
  <w:footnote w:type="continuationSeparator" w:id="0">
    <w:p w:rsidR="008C38F9" w:rsidRDefault="008C38F9"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OxtLAwMjMyMzZQ0lEKTi0uzszPAykwrAUAJxcd5ywAAAA="/>
  </w:docVars>
  <w:rsids>
    <w:rsidRoot w:val="006F4E73"/>
    <w:rsid w:val="000A129C"/>
    <w:rsid w:val="00132A43"/>
    <w:rsid w:val="00143E32"/>
    <w:rsid w:val="0034315C"/>
    <w:rsid w:val="003B27BE"/>
    <w:rsid w:val="00444523"/>
    <w:rsid w:val="00493EDA"/>
    <w:rsid w:val="005E7217"/>
    <w:rsid w:val="008C38F9"/>
    <w:rsid w:val="008C3D54"/>
    <w:rsid w:val="00A741F2"/>
    <w:rsid w:val="00C0129E"/>
    <w:rsid w:val="00C52CA4"/>
    <w:rsid w:val="00C73DAA"/>
    <w:rsid w:val="00D67A09"/>
    <w:rsid w:val="00D8218E"/>
    <w:rsid w:val="00EE141A"/>
    <w:rsid w:val="00F45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DE70D41F-C79A-483E-902B-8CCD99C3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pt-PT" w:eastAsia="pt-PT"/>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pt-PT" w:eastAsia="pt-PT"/>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pt-PT" w:eastAsia="pt-PT"/>
    </w:rPr>
  </w:style>
  <w:style w:type="character" w:customStyle="1" w:styleId="Heading3Char">
    <w:name w:val="Heading 3 Char"/>
    <w:basedOn w:val="DefaultParagraphFont"/>
    <w:link w:val="Heading3"/>
    <w:uiPriority w:val="99"/>
    <w:locked/>
    <w:rPr>
      <w:rFonts w:ascii="Calibri Light" w:hAnsi="Calibri Light" w:cs="Times New Roman"/>
      <w:b/>
      <w:sz w:val="26"/>
      <w:lang w:val="pt-PT" w:eastAsia="pt-PT"/>
    </w:rPr>
  </w:style>
  <w:style w:type="paragraph" w:customStyle="1" w:styleId="Default">
    <w:name w:val="Default"/>
    <w:pPr>
      <w:widowControl w:val="0"/>
      <w:autoSpaceDE w:val="0"/>
      <w:autoSpaceDN w:val="0"/>
      <w:adjustRightInd w:val="0"/>
    </w:pPr>
    <w:rPr>
      <w:rFonts w:ascii="Tahoma" w:hAnsi="Tahoma" w:cs="Tahoma"/>
      <w:sz w:val="24"/>
      <w:szCs w:val="24"/>
      <w:lang w:val="pt-PT" w:eastAsia="pt-PT"/>
    </w:rPr>
  </w:style>
  <w:style w:type="character" w:customStyle="1" w:styleId="InternetLink">
    <w:name w:val="Internet Link"/>
    <w:uiPriority w:val="99"/>
    <w:rPr>
      <w:color w:val="000080"/>
      <w:u w:val="single"/>
      <w:lang w:val="pt-PT" w:eastAsia="pt-PT"/>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pt-PT" w:eastAsia="pt-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pt-PT"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pt-PT" w:eastAsia="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pt-PT" w:eastAsia="pt-PT"/>
    </w:rPr>
  </w:style>
  <w:style w:type="character" w:styleId="Hyperlink">
    <w:name w:val="Hyperlink"/>
    <w:aliases w:val="Char Char7"/>
    <w:basedOn w:val="DefaultParagraphFont"/>
    <w:uiPriority w:val="99"/>
    <w:rPr>
      <w:rFonts w:cs="Times New Roman"/>
      <w:color w:val="0000FF"/>
      <w:u w:val="single"/>
      <w:lang w:val="pt-PT" w:eastAsia="pt-PT"/>
    </w:rPr>
  </w:style>
  <w:style w:type="character" w:customStyle="1" w:styleId="Bullet3Char1">
    <w:name w:val="Bullet 3 Char1"/>
    <w:link w:val="Bullet3"/>
    <w:locked/>
    <w:rPr>
      <w:rFonts w:ascii="Tahoma" w:hAnsi="Tahoma"/>
      <w:sz w:val="19"/>
      <w:lang w:val="pt-PT" w:eastAsia="pt-PT"/>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pt-PT" w:eastAsia="pt-PT"/>
    </w:rPr>
  </w:style>
  <w:style w:type="character" w:customStyle="1" w:styleId="Body1Char1">
    <w:name w:val="Body 1 Char1"/>
    <w:link w:val="Body1"/>
    <w:uiPriority w:val="99"/>
    <w:locked/>
    <w:rPr>
      <w:rFonts w:ascii="Tahoma" w:hAnsi="Tahoma"/>
      <w:sz w:val="19"/>
      <w:lang w:val="pt-PT" w:eastAsia="pt-PT"/>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pt-PT" w:eastAsia="pt-PT"/>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2018-04-24T20:41:00Z</dcterms:created>
  <dcterms:modified xsi:type="dcterms:W3CDTF">2018-04-24T20:41:00Z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