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0B76" w14:textId="336A70C9" w:rsidR="002342D6" w:rsidRDefault="00561C14" w:rsidP="002342D6">
      <w:pPr>
        <w:pStyle w:val="HeadingEULA"/>
        <w:spacing w:before="0" w:after="160"/>
        <w:ind w:left="0"/>
      </w:pPr>
      <w:r>
        <w:t>CONDIZIONI DI LICENZA SOFTWARE MICROSOFT IN VERSIONE NON DEFINITIVA</w:t>
      </w:r>
    </w:p>
    <w:p w14:paraId="320D2EE7" w14:textId="009CB226" w:rsidR="00073C7B" w:rsidRPr="00C66EC7" w:rsidRDefault="00561C14" w:rsidP="002342D6">
      <w:pPr>
        <w:pStyle w:val="HeadingEULA"/>
        <w:spacing w:before="0" w:after="160"/>
        <w:ind w:left="0"/>
      </w:pPr>
      <w:r>
        <w:t>SOFTWARE IN VERSIONE NON DEFINITIVA DELLA FAMIGLIA MICROSOFT VISUAL STUDIO 2017</w:t>
      </w:r>
    </w:p>
    <w:p w14:paraId="3ECD3434" w14:textId="275EF870" w:rsidR="00561C14" w:rsidRPr="005114EC" w:rsidRDefault="00561C14" w:rsidP="002342D6">
      <w:pPr>
        <w:pStyle w:val="Preamble"/>
        <w:spacing w:before="0" w:after="160"/>
        <w:ind w:left="0"/>
        <w:rPr>
          <w:b w:val="0"/>
        </w:rPr>
      </w:pPr>
      <w:r>
        <w:rPr>
          <w:b w:val="0"/>
        </w:rPr>
        <w:t>Le presenti condizioni di licenza costituiscono il contratto tra il licenziatario e Microsoft Corporation (o, in base al luogo di residenza del licenziatario, una delle sue consociate). e si applicano al software in versione non definitiva di cui sopra. Le condizioni si applicano inolt</w:t>
      </w:r>
      <w:bookmarkStart w:id="0" w:name="_GoBack"/>
      <w:bookmarkEnd w:id="0"/>
      <w:r>
        <w:rPr>
          <w:b w:val="0"/>
        </w:rPr>
        <w:t>re a qualsiasi servizio o aggiornamento di Microsoft relativo al software, a meno che questo non sia accompagnato da condizioni aggiuntive.</w:t>
      </w:r>
    </w:p>
    <w:p w14:paraId="61587206" w14:textId="77777777" w:rsidR="00561C14" w:rsidRPr="00C66EC7" w:rsidRDefault="008640F1" w:rsidP="002342D6">
      <w:pPr>
        <w:pStyle w:val="PreambleBorderAbove"/>
        <w:spacing w:before="0" w:after="160"/>
        <w:ind w:left="0"/>
      </w:pPr>
      <w:r>
        <w:t>QUALORA IL LICENZIATARIO SI ATTENGA ALLE PRESENTI CONDIZIONI DI LICENZA, DISPORRÀ DEI DIRITTI INDICATI DI SEGUITO.</w:t>
      </w:r>
    </w:p>
    <w:p w14:paraId="191B46CB" w14:textId="77777777" w:rsidR="00561C14" w:rsidRPr="00C66EC7" w:rsidRDefault="00561C14" w:rsidP="002342D6">
      <w:pPr>
        <w:pStyle w:val="Heading1"/>
        <w:tabs>
          <w:tab w:val="clear" w:pos="450"/>
          <w:tab w:val="num" w:pos="360"/>
        </w:tabs>
        <w:spacing w:before="0" w:after="160"/>
        <w:ind w:left="360" w:hanging="360"/>
      </w:pPr>
      <w:r>
        <w:t xml:space="preserve">INSTALLAZIONE E DIRITTI SULL’UTILIZZO. </w:t>
      </w:r>
    </w:p>
    <w:p w14:paraId="4677A1D4" w14:textId="3657C467" w:rsidR="00561C14" w:rsidRPr="00C66EC7" w:rsidRDefault="00561C14" w:rsidP="004446EF">
      <w:pPr>
        <w:pStyle w:val="CommentText"/>
        <w:numPr>
          <w:ilvl w:val="0"/>
          <w:numId w:val="38"/>
        </w:numPr>
      </w:pPr>
      <w:bookmarkStart w:id="1" w:name="_Hlk485818776"/>
      <w:r>
        <w:t>Il licenziatario potrà installare e utilizzare un numero qualsiasi di copie del software sui dispositivi in uso esclusivamente a scopo di valutazione. Qualora il licenziatario utilizzi il software su Microsoft Azure, potrà essere soggetto a costi e condizioni aggiuntivi.</w:t>
      </w:r>
    </w:p>
    <w:p w14:paraId="768811D0" w14:textId="77777777" w:rsidR="00145590" w:rsidRPr="00C66EC7" w:rsidRDefault="00145590" w:rsidP="002342D6">
      <w:pPr>
        <w:pStyle w:val="Bullet3"/>
        <w:tabs>
          <w:tab w:val="clear" w:pos="1080"/>
          <w:tab w:val="num" w:pos="720"/>
        </w:tabs>
        <w:spacing w:before="0" w:after="160"/>
        <w:ind w:left="720" w:hanging="360"/>
        <w:rPr>
          <w:rFonts w:eastAsia="SimSun"/>
        </w:rPr>
      </w:pPr>
      <w:r>
        <w:t>Il licenziatario non potrà distribuire alcuna applicazione sviluppata con il software. Potrà tuttavia implementare le proprie applicazioni internamente, al solo scopo di valutare le tecnologie di distribuzione contenute nel software.</w:t>
      </w:r>
    </w:p>
    <w:p w14:paraId="5D20438F" w14:textId="77777777" w:rsidR="00C41708" w:rsidRPr="00C66EC7" w:rsidRDefault="00C41708" w:rsidP="002342D6">
      <w:pPr>
        <w:pStyle w:val="Bullet3"/>
        <w:tabs>
          <w:tab w:val="clear" w:pos="1080"/>
          <w:tab w:val="num" w:pos="720"/>
        </w:tabs>
        <w:spacing w:before="0" w:after="160"/>
        <w:ind w:left="720" w:hanging="360"/>
        <w:rPr>
          <w:rFonts w:eastAsia="SimSun"/>
        </w:rPr>
      </w:pPr>
      <w:r>
        <w:t>Il licenziatario non potrà testare il software in un ambiente operativo reale, a meno che non sia autorizzato da Microsoft ai sensi di un altro contratto.</w:t>
      </w:r>
    </w:p>
    <w:bookmarkEnd w:id="1"/>
    <w:p w14:paraId="39CCAD7A" w14:textId="75DFA36B" w:rsidR="0089566E" w:rsidRPr="00C66EC7" w:rsidRDefault="008640F1" w:rsidP="002342D6">
      <w:pPr>
        <w:pStyle w:val="Heading1"/>
        <w:tabs>
          <w:tab w:val="clear" w:pos="450"/>
          <w:tab w:val="num" w:pos="360"/>
        </w:tabs>
        <w:spacing w:before="0" w:after="160"/>
        <w:ind w:left="360" w:hanging="360"/>
        <w:rPr>
          <w:rFonts w:eastAsia="SimSun"/>
        </w:rPr>
      </w:pPr>
      <w:r>
        <w:t>CONDIZIONI PER COMPONENTI SPECIFICI.</w:t>
      </w:r>
    </w:p>
    <w:p w14:paraId="7C27E3B4" w14:textId="0C21F328" w:rsidR="007B3889" w:rsidRPr="005114EC" w:rsidRDefault="007B3889" w:rsidP="002342D6">
      <w:pPr>
        <w:pStyle w:val="ListParagraph"/>
        <w:numPr>
          <w:ilvl w:val="0"/>
          <w:numId w:val="12"/>
        </w:numPr>
        <w:spacing w:after="160"/>
        <w:ind w:left="720"/>
        <w:rPr>
          <w:rFonts w:ascii="Tahoma" w:hAnsi="Tahoma" w:cs="Tahoma"/>
          <w:bCs/>
          <w:sz w:val="19"/>
          <w:szCs w:val="19"/>
        </w:rPr>
      </w:pPr>
      <w:r>
        <w:rPr>
          <w:rFonts w:ascii="Tahoma" w:hAnsi="Tahoma"/>
          <w:b/>
          <w:sz w:val="19"/>
        </w:rPr>
        <w:t>Separazione di componenti; Carichi di Lavoro.</w:t>
      </w:r>
      <w:r>
        <w:rPr>
          <w:rFonts w:ascii="Tahoma" w:hAnsi="Tahoma"/>
          <w:sz w:val="19"/>
        </w:rPr>
        <w:t xml:space="preserve"> Fatto salvo quanto diversamente specificato nel presente contratto, (i) i componenti del software sono concessi in licenza come singolo prodotto e (ii) il licenziatario non potrà separarli né installarli su dispositivi diversi. Il presente contratto si applica all’utilizzo da parte del licenziatario dei Carichi di Lavoro resi disponibili all’interno del software, a meno che un Carico di Lavoro o un componente di un Carico di Lavoro non venga fornito con condizioni specifiche.</w:t>
      </w:r>
    </w:p>
    <w:p w14:paraId="4C406145" w14:textId="5AF8B9E1" w:rsidR="00894F25" w:rsidRPr="005114EC" w:rsidRDefault="00894F25" w:rsidP="002342D6">
      <w:pPr>
        <w:pStyle w:val="ListParagraph"/>
        <w:numPr>
          <w:ilvl w:val="0"/>
          <w:numId w:val="12"/>
        </w:numPr>
        <w:spacing w:after="160"/>
        <w:ind w:left="720"/>
        <w:rPr>
          <w:rFonts w:ascii="Tahoma" w:hAnsi="Tahoma" w:cs="Tahoma"/>
          <w:sz w:val="19"/>
          <w:szCs w:val="19"/>
        </w:rPr>
      </w:pPr>
      <w:r>
        <w:rPr>
          <w:rFonts w:ascii="Tahoma" w:hAnsi="Tahoma"/>
          <w:b/>
          <w:sz w:val="19"/>
        </w:rPr>
        <w:t>Utilità.</w:t>
      </w:r>
      <w:r>
        <w:rPr>
          <w:rFonts w:ascii="Tahoma" w:hAnsi="Tahoma"/>
          <w:sz w:val="19"/>
        </w:rPr>
        <w:t xml:space="preserve"> </w:t>
      </w:r>
      <w:r>
        <w:rPr>
          <w:rFonts w:ascii="Tahoma" w:hAnsi="Tahoma"/>
          <w:color w:val="1F4E79"/>
          <w:sz w:val="19"/>
        </w:rPr>
        <w:t xml:space="preserve">Il software potrà contenere alcuni componenti identificati nell’Elenco delle Utilità alla pagina </w:t>
      </w:r>
      <w:hyperlink r:id="rId11">
        <w:r>
          <w:rPr>
            <w:rStyle w:val="Hyperlink"/>
            <w:rFonts w:ascii="Tahoma" w:hAnsi="Tahoma"/>
            <w:sz w:val="19"/>
          </w:rPr>
          <w:t>https://go.microsoft.com/fwlink/?linkid=823097</w:t>
        </w:r>
      </w:hyperlink>
      <w:r>
        <w:rPr>
          <w:rFonts w:ascii="Tahoma" w:hAnsi="Tahoma"/>
          <w:color w:val="1F4E79"/>
          <w:sz w:val="19"/>
        </w:rPr>
        <w:t xml:space="preserve">. </w:t>
      </w:r>
      <w:r>
        <w:rPr>
          <w:rFonts w:ascii="Tahoma" w:hAnsi="Tahoma"/>
          <w:sz w:val="19"/>
        </w:rPr>
        <w:t>Il licenziatario potrà duplicare e installare tali Utilità, qualora siano incluse nel software, sui propri dispositivi per eseguire il debug e la distribuzione interna delle applicazioni che ha sviluppato con il software. Il licenziatario deve tenere presente che le Utilità sono progettate per un utilizzo temporaneo, che Microsoft potrebbe non essere in grado di applicare patch alle Utilità né di aggiornarle separatamente dal resto del software e che alcune Utilità potrebbero, per loro stessa natura, consentire ad altri soggetti di accedere ai dispositivi su cui sono installati. Di conseguenza, il licenziatario dovrà eliminare tutte le Utilità installate al termine del debug o della distribuzione interna delle applicazioni. Microsoft non è responsabile dell’utilizzo da parte di terzi delle Utilità che il licenziatario installa su un dispositivo, né dell’accesso ad esse.</w:t>
      </w:r>
    </w:p>
    <w:p w14:paraId="5CE06463" w14:textId="7C8C1342" w:rsidR="00894F25" w:rsidRPr="005114EC" w:rsidRDefault="00894F25" w:rsidP="002342D6">
      <w:pPr>
        <w:pStyle w:val="ListParagraph"/>
        <w:numPr>
          <w:ilvl w:val="0"/>
          <w:numId w:val="12"/>
        </w:numPr>
        <w:spacing w:after="160"/>
        <w:ind w:left="720"/>
        <w:rPr>
          <w:rFonts w:ascii="Tahoma" w:hAnsi="Tahoma" w:cs="Tahoma"/>
          <w:sz w:val="19"/>
          <w:szCs w:val="19"/>
        </w:rPr>
      </w:pPr>
      <w:r>
        <w:rPr>
          <w:rFonts w:ascii="Tahoma" w:hAnsi="Tahoma"/>
          <w:b/>
          <w:sz w:val="19"/>
        </w:rPr>
        <w:t>Build Tools.</w:t>
      </w:r>
      <w:r>
        <w:rPr>
          <w:rFonts w:ascii="Tahoma" w:hAnsi="Tahoma"/>
          <w:sz w:val="19"/>
        </w:rPr>
        <w:t xml:space="preserve"> Il licenziatario potrà duplicare e installare i file del software sui propri dispositivi di compilazione, inclusi i dispositivi fisici e le macchine virtuali o i contenitori su tali macchine, sia su macchine locali che remote di proprietà del licenziatario, ospitate su Azure per il licenziatario o dedicate esclusivamente all’utilizzo da parte del licenziatario (collettivamente, “Dispositivi di Compilazione”). Il licenziatario e altri soggetti all’interno dell’organizzazione potranno utilizzare i file presenti nei Dispositivi di Compilazione solo per compilare e verificare le applicazioni oppure per eseguire test di qualità o delle prestazioni di tali applicazioni durante il processo di compilazione. Per chiarezza, “applicazioni” indica le applicazioni sviluppate dal licenziatario e da altri soggetti della sua organizzazione, ciascuno dei quali è autorizzato a utilizzare il software.</w:t>
      </w:r>
    </w:p>
    <w:p w14:paraId="21576E0C" w14:textId="38018E8A" w:rsidR="007B3889" w:rsidRPr="005114EC" w:rsidRDefault="007B3889" w:rsidP="002342D6">
      <w:pPr>
        <w:pStyle w:val="ListParagraph"/>
        <w:numPr>
          <w:ilvl w:val="0"/>
          <w:numId w:val="12"/>
        </w:numPr>
        <w:spacing w:after="160"/>
        <w:ind w:left="720"/>
        <w:rPr>
          <w:rFonts w:ascii="Tahoma" w:hAnsi="Tahoma" w:cs="Tahoma"/>
          <w:bCs/>
          <w:sz w:val="19"/>
          <w:szCs w:val="19"/>
        </w:rPr>
      </w:pPr>
      <w:r>
        <w:rPr>
          <w:rFonts w:ascii="Tahoma" w:hAnsi="Tahoma"/>
          <w:b/>
          <w:sz w:val="19"/>
        </w:rPr>
        <w:lastRenderedPageBreak/>
        <w:t>Tipi di Carattere.</w:t>
      </w:r>
      <w:r>
        <w:rPr>
          <w:rFonts w:ascii="Tahoma" w:hAnsi="Tahoma"/>
          <w:sz w:val="19"/>
        </w:rPr>
        <w:t xml:space="preserve"> Durante l’esecuzione del software il licenziatario potrà utilizzare i relativi tipi di carattere per visualizzare e stampare il contenuto. Il licenziatario potrà solo: (i) incorporare i tipi di carattere nel contenuto nella modalità consentita dalle limitazioni relative all’incorporamento dei tipi di carattere e (ii) scaricarli temporaneamente in una stampante o in un altro dispositivo di output per la stampa.</w:t>
      </w:r>
    </w:p>
    <w:p w14:paraId="32258D5D" w14:textId="6929BD57" w:rsidR="00F77B4C" w:rsidRPr="005114EC" w:rsidRDefault="00667F7B" w:rsidP="002342D6">
      <w:pPr>
        <w:pStyle w:val="ListParagraph"/>
        <w:numPr>
          <w:ilvl w:val="0"/>
          <w:numId w:val="12"/>
        </w:numPr>
        <w:spacing w:after="160"/>
        <w:ind w:left="720"/>
        <w:rPr>
          <w:rFonts w:ascii="Tahoma" w:hAnsi="Tahoma" w:cs="Tahoma"/>
          <w:b/>
          <w:sz w:val="19"/>
          <w:szCs w:val="19"/>
        </w:rPr>
      </w:pPr>
      <w:r>
        <w:rPr>
          <w:rFonts w:ascii="Tahoma" w:hAnsi="Tahoma"/>
          <w:b/>
          <w:sz w:val="19"/>
        </w:rPr>
        <w:t>Licenze per Altri Componenti.</w:t>
      </w:r>
    </w:p>
    <w:p w14:paraId="65ACFBCE" w14:textId="589A86BB" w:rsidR="0089566E" w:rsidRPr="00C66EC7" w:rsidRDefault="0089566E" w:rsidP="002342D6">
      <w:pPr>
        <w:pStyle w:val="Bullet3"/>
        <w:numPr>
          <w:ilvl w:val="0"/>
          <w:numId w:val="33"/>
        </w:numPr>
        <w:spacing w:before="0" w:after="160"/>
        <w:ind w:left="1080"/>
      </w:pPr>
      <w:r>
        <w:rPr>
          <w:b/>
        </w:rPr>
        <w:t xml:space="preserve">Piattaforme Microsoft. </w:t>
      </w:r>
      <w:r>
        <w:t xml:space="preserve">Il software potrà includere componenti di Microsoft Windows, Microsoft Windows Server, Microsoft SQL Server, Microsoft Exchange, Microsoft Office e Microsoft SharePoint. Tali componenti sono disciplinati da contratti specifici e dai relativi criteri di supporto dei prodotti, come indicato nella cartella “Licenze” Microsoft fornita insieme al software. Nel caso in cui nella directory di installazione associata siano incluse anche condizioni di licenza per i suddetti componenti, tali condizioni di licenza avranno prevalenza. </w:t>
      </w:r>
    </w:p>
    <w:p w14:paraId="6AB693C0" w14:textId="08AB2A77" w:rsidR="000632D9" w:rsidRPr="002342D6" w:rsidRDefault="00667F7B" w:rsidP="002342D6">
      <w:pPr>
        <w:pStyle w:val="ListParagraph"/>
        <w:numPr>
          <w:ilvl w:val="0"/>
          <w:numId w:val="33"/>
        </w:numPr>
        <w:spacing w:after="160"/>
        <w:ind w:left="1080"/>
        <w:rPr>
          <w:rFonts w:ascii="Tahoma" w:hAnsi="Tahoma" w:cs="Tahoma"/>
          <w:color w:val="000000"/>
          <w:sz w:val="19"/>
          <w:szCs w:val="19"/>
        </w:rPr>
      </w:pPr>
      <w:r>
        <w:rPr>
          <w:rFonts w:ascii="Tahoma" w:hAnsi="Tahoma"/>
          <w:b/>
          <w:sz w:val="19"/>
        </w:rPr>
        <w:t xml:space="preserve">Risorse per Sviluppatori. </w:t>
      </w:r>
      <w:r>
        <w:rPr>
          <w:rFonts w:ascii="Tahoma" w:hAnsi="Tahoma"/>
          <w:sz w:val="19"/>
        </w:rPr>
        <w:t xml:space="preserve">Il software include compilatori, lingue, runtime, ambienti e altre risorse. Tali componenti potranno essere disciplinati da contratti specifici e disporre di relativi criteri di supporto. </w:t>
      </w:r>
      <w:r>
        <w:t>Un elenco dei suddetti componenti è disponibile all’indirizzo</w:t>
      </w:r>
      <w:r>
        <w:rPr>
          <w:rFonts w:ascii="Tahoma" w:hAnsi="Tahoma"/>
          <w:sz w:val="19"/>
        </w:rPr>
        <w:t xml:space="preserve"> </w:t>
      </w:r>
      <w:hyperlink r:id="rId12">
        <w:r>
          <w:rPr>
            <w:rStyle w:val="Hyperlink"/>
            <w:rFonts w:ascii="Tahoma" w:hAnsi="Tahoma"/>
            <w:sz w:val="19"/>
          </w:rPr>
          <w:t>https://support.microsoft.com</w:t>
        </w:r>
      </w:hyperlink>
      <w:r>
        <w:rPr>
          <w:rFonts w:ascii="Tahoma" w:hAnsi="Tahoma"/>
          <w:sz w:val="19"/>
        </w:rPr>
        <w:t>.</w:t>
      </w:r>
    </w:p>
    <w:p w14:paraId="38DB1AA5" w14:textId="4C6452EF" w:rsidR="002B3B99" w:rsidRPr="004B3A81" w:rsidRDefault="00A26A74" w:rsidP="00A07F35">
      <w:pPr>
        <w:pStyle w:val="ListParagraph"/>
        <w:numPr>
          <w:ilvl w:val="0"/>
          <w:numId w:val="33"/>
        </w:numPr>
        <w:spacing w:after="160"/>
        <w:ind w:left="1080"/>
        <w:rPr>
          <w:rFonts w:ascii="Tahoma" w:hAnsi="Tahoma" w:cs="Tahoma"/>
          <w:sz w:val="19"/>
          <w:szCs w:val="19"/>
        </w:rPr>
      </w:pPr>
      <w:r>
        <w:rPr>
          <w:rFonts w:ascii="Tahoma" w:hAnsi="Tahoma"/>
          <w:b/>
          <w:sz w:val="19"/>
        </w:rPr>
        <w:t xml:space="preserve">Componenti di Terzi. </w:t>
      </w:r>
      <w:r>
        <w:rPr>
          <w:rFonts w:ascii="Tahoma" w:hAnsi="Tahoma"/>
          <w:sz w:val="19"/>
        </w:rPr>
        <w:t xml:space="preserve">Il software potrà includere componenti di terzi con comunicazioni legali distinte o disciplinati da altri contratti, come indicato nel o nei file ThirdPartyNotices relativi al software. </w:t>
      </w:r>
    </w:p>
    <w:p w14:paraId="4899FBD1" w14:textId="4BD443AD" w:rsidR="00AA0100" w:rsidRPr="005114EC" w:rsidRDefault="0084687F" w:rsidP="002342D6">
      <w:pPr>
        <w:pStyle w:val="ListParagraph"/>
        <w:numPr>
          <w:ilvl w:val="0"/>
          <w:numId w:val="12"/>
        </w:numPr>
        <w:spacing w:after="160"/>
        <w:ind w:left="720"/>
        <w:rPr>
          <w:rFonts w:ascii="Tahoma" w:hAnsi="Tahoma" w:cs="Tahoma"/>
          <w:sz w:val="19"/>
          <w:szCs w:val="19"/>
        </w:rPr>
      </w:pPr>
      <w:r>
        <w:rPr>
          <w:rFonts w:ascii="Tahoma" w:hAnsi="Tahoma"/>
          <w:b/>
          <w:sz w:val="19"/>
        </w:rPr>
        <w:t>Funzionalità di Gestione Pacchetti.</w:t>
      </w:r>
      <w:r>
        <w:rPr>
          <w:rFonts w:ascii="Tahoma" w:hAnsi="Tahoma"/>
          <w:sz w:val="19"/>
        </w:rPr>
        <w:t xml:space="preserve"> Il software include funzionalità di gestione dei pacchetti, come NuGet, che consentono di scaricare altri pacchetti software di terzi e di Microsoft da utilizzare con le applicazioni. Tali pacchetti sono disciplinati da licenze proprie, non dal presente contratto. Microsoft non distribuisce pacchetti di terzi né concede in licenza o fornisce alcuna garanzia al licenziatario in merito ad alcuno di tali pacchetti.</w:t>
      </w:r>
    </w:p>
    <w:p w14:paraId="3AD6912F" w14:textId="77777777" w:rsidR="00C45400" w:rsidRPr="00C45400" w:rsidRDefault="00563EFB" w:rsidP="002342D6">
      <w:pPr>
        <w:pStyle w:val="Heading1"/>
        <w:tabs>
          <w:tab w:val="clear" w:pos="450"/>
          <w:tab w:val="num" w:pos="360"/>
        </w:tabs>
        <w:spacing w:before="0" w:after="160"/>
        <w:ind w:left="360" w:hanging="360"/>
        <w:rPr>
          <w:b w:val="0"/>
        </w:rPr>
      </w:pPr>
      <w:r>
        <w:t xml:space="preserve">DATI. </w:t>
      </w:r>
    </w:p>
    <w:p w14:paraId="565E4C87" w14:textId="5DE64FD3" w:rsidR="003B5050" w:rsidRDefault="00A548FD" w:rsidP="00A548FD">
      <w:pPr>
        <w:pStyle w:val="Heading1"/>
        <w:numPr>
          <w:ilvl w:val="0"/>
          <w:numId w:val="0"/>
        </w:numPr>
        <w:spacing w:before="0" w:after="160"/>
        <w:ind w:left="720" w:hanging="360"/>
        <w:rPr>
          <w:b w:val="0"/>
        </w:rPr>
      </w:pPr>
      <w:r>
        <w:t>a.</w:t>
      </w:r>
      <w:r>
        <w:tab/>
        <w:t>Raccolta dei dati.</w:t>
      </w:r>
      <w:r>
        <w:rPr>
          <w:b w:val="0"/>
        </w:rPr>
        <w:t xml:space="preserve"> Il software potrà raccogliere dati sul licenziatario e su come utilizza il software e inviarli a Microsoft. Microsoft potrà utilizzarli per erogare i servizi e migliorare i prodotti e i servizi offerti. Il licenziatario potrà rifiutarsi esplicitamente di fornire tali informazioni, ma non tutte, come descritto nella documentazione del prodotto. Nel software sono disponibili anche alcune funzionalità che potranno consentire al licenziatario e a Microsoft di raccogliere dati degli utenti delle applicazioni. Qualora il licenziatario utilizzi queste funzionalità, dovrà conformarsi alla legge applicabile, che prevede tra l’altro che agli utenti delle applicazioni vengano fornite comunicazioni appropriate e una copia dell’informativa sulla privacy di Microsoft. L’informativa sulla privacy è distribuita all’indirizzo</w:t>
      </w:r>
      <w:r>
        <w:t xml:space="preserve"> </w:t>
      </w:r>
      <w:hyperlink r:id="rId13">
        <w:r>
          <w:rPr>
            <w:rStyle w:val="Hyperlink"/>
            <w:b w:val="0"/>
          </w:rPr>
          <w:t>https://go.microsoft.com/fwlink/?LinkID=824704</w:t>
        </w:r>
      </w:hyperlink>
      <w:r>
        <w:rPr>
          <w:b w:val="0"/>
        </w:rPr>
        <w:t>. Ulteriori informazioni sulla raccolta e il trattamento dei dati sono disponibili nella documentazione di supporto e nell’informativa sulla privacy di Microsoft. L’utilizzo del software da parte del licenziatario costituisce accettazione implicita di tali criteri.</w:t>
      </w:r>
    </w:p>
    <w:p w14:paraId="079D76D2" w14:textId="77777777" w:rsidR="004B3A81" w:rsidRPr="00C45CAE" w:rsidRDefault="00D62D7C" w:rsidP="004B3A81">
      <w:pPr>
        <w:pStyle w:val="Heading1"/>
        <w:numPr>
          <w:ilvl w:val="0"/>
          <w:numId w:val="0"/>
        </w:numPr>
        <w:spacing w:before="0" w:after="160"/>
        <w:ind w:left="720" w:hanging="360"/>
        <w:rPr>
          <w:b w:val="0"/>
          <w:sz w:val="20"/>
          <w:szCs w:val="20"/>
        </w:rPr>
      </w:pPr>
      <w:r>
        <w:t>b.</w:t>
      </w:r>
      <w:r>
        <w:tab/>
        <w:t xml:space="preserve">Trattamento dei dati personali. </w:t>
      </w:r>
      <w:r>
        <w:rPr>
          <w:b w:val="0"/>
        </w:rPr>
        <w:t>Qualora Microsoft abbia la funzione di elaboratore principale o secondario dei dati personali relativi al software, Microsoft farà sì che siano rispettati gli impegni nei confronti di tutte le società riportati nelle Condizioni del Regolamento Europeo per la Protezione dei Dati Personali delle Condizioni per l’Utilizzo dei Servizi Online entrino in vigore il 25 maggio 2018 (</w:t>
      </w:r>
      <w:hyperlink r:id="rId14">
        <w:r>
          <w:rPr>
            <w:rStyle w:val="Hyperlink"/>
            <w:b w:val="0"/>
          </w:rPr>
          <w:t>http://go.microsoft.com/?linkid=9840733</w:t>
        </w:r>
      </w:hyperlink>
      <w:r>
        <w:t>).</w:t>
      </w:r>
    </w:p>
    <w:p w14:paraId="7AAABB72" w14:textId="36C8A8A7" w:rsidR="00561C14" w:rsidRPr="005114EC" w:rsidRDefault="00561C14" w:rsidP="002342D6">
      <w:pPr>
        <w:pStyle w:val="Heading1"/>
        <w:tabs>
          <w:tab w:val="clear" w:pos="450"/>
          <w:tab w:val="num" w:pos="360"/>
        </w:tabs>
        <w:spacing w:before="0" w:after="160"/>
        <w:ind w:left="360" w:hanging="360"/>
        <w:rPr>
          <w:b w:val="0"/>
        </w:rPr>
      </w:pPr>
      <w:r>
        <w:t xml:space="preserve">SOFTWARE CON CICLO DI VITA. </w:t>
      </w:r>
      <w:r>
        <w:rPr>
          <w:b w:val="0"/>
        </w:rPr>
        <w:t>Il software è a durata critica e smetterà di funzionare in corrispondenza di una data che è definita nel software. Cesseranno anche i diritti di licenza del licenziatario per l’utilizzo del software. Il licenziatario potrebbe non essere in grado di accedere a copie del proprio codice o di altri dati archiviati nel software quando questo cesserà di funzionare.</w:t>
      </w:r>
    </w:p>
    <w:p w14:paraId="02E5ED8B" w14:textId="2718495C" w:rsidR="00561C14" w:rsidRPr="005114EC" w:rsidRDefault="00561C14" w:rsidP="002342D6">
      <w:pPr>
        <w:pStyle w:val="Heading1"/>
        <w:tabs>
          <w:tab w:val="clear" w:pos="450"/>
          <w:tab w:val="num" w:pos="360"/>
        </w:tabs>
        <w:spacing w:before="0" w:after="160"/>
        <w:ind w:left="360" w:hanging="360"/>
        <w:rPr>
          <w:b w:val="0"/>
        </w:rPr>
      </w:pPr>
      <w:bookmarkStart w:id="2" w:name="_Hlk485818962"/>
      <w:r>
        <w:t xml:space="preserve">SOFTWARE IN VERSIONE NON DEFINITIVA. </w:t>
      </w:r>
      <w:r>
        <w:rPr>
          <w:b w:val="0"/>
        </w:rPr>
        <w:t xml:space="preserve">Il presente software è in versione non definitiva. Potrebbe non funzionare correttamente o il suo funzionamento potrebbe non essere uguale a quello di una versione finale. Microsoft potrà cambiare la versione non definitiva prima di rilasciare commercialmente la </w:t>
      </w:r>
      <w:r>
        <w:rPr>
          <w:b w:val="0"/>
        </w:rPr>
        <w:lastRenderedPageBreak/>
        <w:t>versione finale. Microsoft non è obbligata a fornire al licenziatario la manutenzione, il supporto tecnico o l’aggiornamento del software.</w:t>
      </w:r>
    </w:p>
    <w:p w14:paraId="49D69AFA" w14:textId="77777777" w:rsidR="00661CED" w:rsidRPr="005114EC" w:rsidRDefault="00561C14" w:rsidP="002342D6">
      <w:pPr>
        <w:pStyle w:val="Heading1"/>
        <w:tabs>
          <w:tab w:val="clear" w:pos="450"/>
          <w:tab w:val="num" w:pos="360"/>
        </w:tabs>
        <w:spacing w:before="0" w:after="160"/>
        <w:ind w:left="360" w:hanging="360"/>
        <w:rPr>
          <w:b w:val="0"/>
        </w:rPr>
      </w:pPr>
      <w:r>
        <w:t xml:space="preserve">COMMENTI. </w:t>
      </w:r>
      <w:r>
        <w:rPr>
          <w:b w:val="0"/>
        </w:rPr>
        <w:t>Qualora il licenziatario fornisca commenti sul software a Microsoft, conferisce a Microsoft, senza alcun costo aggiuntivo, il diritto di utilizzare, condividere e commercializzare tali commenti in qualsiasi modo e per qualsiasi scopo. Il licenziatario non riconoscerà commenti e suggerimenti che siano soggetti a una licenza per cui sia necessario che Microsoft conceda in licenza il software o la documentazione a terzi perché nel software o nella documentazione Microsoft è sono inclusi i commenti e suggerimenti. Tali diritti estenderanno la loro validità temporale anche dopo la scadenza del presente contratto.</w:t>
      </w:r>
    </w:p>
    <w:bookmarkEnd w:id="2"/>
    <w:p w14:paraId="44F6C521" w14:textId="65F29F44" w:rsidR="00561C14" w:rsidRPr="005114EC" w:rsidRDefault="00561C14" w:rsidP="002342D6">
      <w:pPr>
        <w:pStyle w:val="Heading1"/>
        <w:tabs>
          <w:tab w:val="clear" w:pos="450"/>
          <w:tab w:val="num" w:pos="360"/>
        </w:tabs>
        <w:spacing w:before="0" w:after="160"/>
        <w:ind w:left="360" w:hanging="360"/>
        <w:rPr>
          <w:b w:val="0"/>
        </w:rPr>
      </w:pPr>
      <w:r>
        <w:t xml:space="preserve">AMBITO DI VALIDITÀ DELLA LICENZA. </w:t>
      </w:r>
      <w:r>
        <w:rPr>
          <w:b w:val="0"/>
        </w:rPr>
        <w:t>Il software non viene venduto, ma è concesso in licenza. Il presente contratto concede al licenziatario solo alcuni diritti di utilizzo del software. Microsoft si riserva tutti gli altri diritti.</w:t>
      </w:r>
      <w:r>
        <w:t xml:space="preserve"> </w:t>
      </w:r>
      <w:r>
        <w:rPr>
          <w:b w:val="0"/>
        </w:rPr>
        <w:t>Nel limite massimo consentito dalla legge applicabile il licenziatario potrà utilizzare il software esclusivamente nei modi espressamente concessi nel presente contratto. Nel far ciò, il contraente dovrà attenersi a qualsiasi limitazione tecnica presente nel software che gli consenta di utilizzarlo solo in determinati modi. L’utente non potrà:</w:t>
      </w:r>
    </w:p>
    <w:p w14:paraId="49F5508A" w14:textId="77777777" w:rsidR="00D015E8" w:rsidRPr="00C66EC7" w:rsidRDefault="00D015E8" w:rsidP="002342D6">
      <w:pPr>
        <w:pStyle w:val="Bullet4"/>
        <w:tabs>
          <w:tab w:val="clear" w:pos="1437"/>
          <w:tab w:val="num" w:pos="720"/>
        </w:tabs>
        <w:spacing w:before="0" w:after="160"/>
        <w:ind w:left="720" w:hanging="360"/>
      </w:pPr>
      <w:r>
        <w:t>aggirare le limitazioni tecniche presenti nel software;</w:t>
      </w:r>
    </w:p>
    <w:p w14:paraId="631F97E5" w14:textId="67913621" w:rsidR="00D015E8" w:rsidRPr="00C66EC7" w:rsidRDefault="00D015E8" w:rsidP="002342D6">
      <w:pPr>
        <w:pStyle w:val="Bullet4"/>
        <w:tabs>
          <w:tab w:val="clear" w:pos="1437"/>
          <w:tab w:val="num" w:pos="720"/>
        </w:tabs>
        <w:spacing w:before="0" w:after="160"/>
        <w:ind w:left="720" w:hanging="360"/>
        <w:rPr>
          <w:rFonts w:eastAsia="SimSun"/>
        </w:rPr>
      </w:pPr>
      <w:r>
        <w:t>decodificare, decompilare o disassemblare il software né in altro modo tentare di derivare il codice sorgente del software, fatta eccezione per i casi previsti da condizioni di licenza di terzi che disciplinano l’utilizzo di alcuni componenti open source che potrebbero essere inclusi nel software;</w:t>
      </w:r>
    </w:p>
    <w:p w14:paraId="4E131D42" w14:textId="77777777" w:rsidR="00D015E8" w:rsidRPr="00C66EC7" w:rsidRDefault="00D015E8" w:rsidP="002342D6">
      <w:pPr>
        <w:pStyle w:val="Bullet4"/>
        <w:tabs>
          <w:tab w:val="clear" w:pos="1437"/>
          <w:tab w:val="num" w:pos="720"/>
        </w:tabs>
        <w:spacing w:before="0" w:after="160"/>
        <w:ind w:left="720" w:hanging="360"/>
      </w:pPr>
      <w:r>
        <w:t>rimuovere, ridurre al minimo, bloccare o modificare alcuna comunicazione di Microsoft o dei suoi fornitori relativamente al software;</w:t>
      </w:r>
    </w:p>
    <w:p w14:paraId="4E564A7D" w14:textId="77777777" w:rsidR="00D015E8" w:rsidRPr="00C66EC7" w:rsidRDefault="00D015E8" w:rsidP="002342D6">
      <w:pPr>
        <w:pStyle w:val="Bullet4"/>
        <w:tabs>
          <w:tab w:val="clear" w:pos="1437"/>
          <w:tab w:val="num" w:pos="720"/>
        </w:tabs>
        <w:spacing w:before="0" w:after="160"/>
        <w:ind w:left="720" w:hanging="360"/>
      </w:pPr>
      <w:r>
        <w:t>utilizzare il software in contrasto con la legge o</w:t>
      </w:r>
    </w:p>
    <w:p w14:paraId="6AAB6F68" w14:textId="686BF499" w:rsidR="00AD48A4" w:rsidRPr="0083050A" w:rsidRDefault="00141F26" w:rsidP="002342D6">
      <w:pPr>
        <w:pStyle w:val="Bullet4"/>
        <w:tabs>
          <w:tab w:val="clear" w:pos="1437"/>
          <w:tab w:val="num" w:pos="720"/>
        </w:tabs>
        <w:spacing w:before="0" w:after="160"/>
        <w:ind w:left="720" w:hanging="360"/>
      </w:pPr>
      <w:r>
        <w:t xml:space="preserve">condividere, pubblicare, noleggiare, concedere in locazione il software oppure fornirlo come soluzione autonoma utilizzabile da terzi né trasferire il software o il presente contratto a terzi.  </w:t>
      </w:r>
    </w:p>
    <w:p w14:paraId="4DDDCEE8" w14:textId="10938FC4" w:rsidR="00561C14" w:rsidRPr="00C66EC7" w:rsidRDefault="00561C14" w:rsidP="002342D6">
      <w:pPr>
        <w:pStyle w:val="Heading1"/>
        <w:tabs>
          <w:tab w:val="clear" w:pos="450"/>
          <w:tab w:val="num" w:pos="360"/>
        </w:tabs>
        <w:spacing w:before="0" w:after="160"/>
        <w:ind w:left="360" w:hanging="360"/>
        <w:rPr>
          <w:rStyle w:val="Hyperlink"/>
          <w:rFonts w:eastAsia="SimSun" w:cs="Tahoma"/>
          <w:b w:val="0"/>
          <w:bCs w:val="0"/>
          <w:sz w:val="20"/>
          <w:szCs w:val="20"/>
        </w:rPr>
      </w:pPr>
      <w:r>
        <w:t xml:space="preserve">RESTRIZIONI ALL'ESPORTAZIONE. </w:t>
      </w:r>
      <w:r>
        <w:rPr>
          <w:b w:val="0"/>
        </w:rPr>
        <w:t xml:space="preserve">Il licenziatario dovrà anche conformarsi a tutte le leggi e a tutti i regolamenti locali e internazionali applicabili al software in materia di controllo delle esportazioni, che includono limitazioni su destinazioni, utenti finali e utilizzo finale. Per ulteriori informazioni sulle limitazioni all’esportazione, il licenziatario potrà visitare la pagina </w:t>
      </w:r>
      <w:hyperlink r:id="rId15">
        <w:r>
          <w:rPr>
            <w:rStyle w:val="Hyperlink"/>
            <w:b w:val="0"/>
            <w:sz w:val="20"/>
          </w:rPr>
          <w:t>www.microsoft.com/exporting</w:t>
        </w:r>
      </w:hyperlink>
      <w:r>
        <w:t>.</w:t>
      </w:r>
    </w:p>
    <w:p w14:paraId="51578A39" w14:textId="07FF0130" w:rsidR="00561C14" w:rsidRPr="003E1F6C" w:rsidRDefault="00561C14" w:rsidP="002342D6">
      <w:pPr>
        <w:pStyle w:val="Heading1"/>
        <w:tabs>
          <w:tab w:val="clear" w:pos="450"/>
          <w:tab w:val="num" w:pos="360"/>
        </w:tabs>
        <w:spacing w:before="0" w:after="160"/>
        <w:ind w:left="360" w:hanging="360"/>
        <w:rPr>
          <w:b w:val="0"/>
        </w:rPr>
      </w:pPr>
      <w:r>
        <w:t xml:space="preserve">SUPPORTO. </w:t>
      </w:r>
      <w:r>
        <w:rPr>
          <w:b w:val="0"/>
        </w:rPr>
        <w:t>Poiché il presente software viene fornito “com’è”, non è prevista l’erogazione di servizi di supporto tecnico da parte di Microsoft.</w:t>
      </w:r>
    </w:p>
    <w:p w14:paraId="265E94C9" w14:textId="77777777" w:rsidR="00561C14" w:rsidRPr="005114EC" w:rsidRDefault="00561C14" w:rsidP="002342D6">
      <w:pPr>
        <w:pStyle w:val="Heading1"/>
        <w:tabs>
          <w:tab w:val="clear" w:pos="450"/>
          <w:tab w:val="num" w:pos="360"/>
        </w:tabs>
        <w:spacing w:before="0" w:after="160"/>
        <w:ind w:left="360" w:hanging="360"/>
        <w:rPr>
          <w:b w:val="0"/>
        </w:rPr>
      </w:pPr>
      <w:r>
        <w:t xml:space="preserve">INTERO ACCORDO. </w:t>
      </w:r>
      <w:r>
        <w:rPr>
          <w:b w:val="0"/>
        </w:rPr>
        <w:t>Il presente contratto e le condizioni che disciplinano l'utilizzo dei supplementi, degli aggiornamenti, dei servizi basati su Internet e dei servizi di supporto tecnico utilizzati dal licenziatario costituiscono l'intero accordo relativo al software e ai servizi di supporto tecnico.</w:t>
      </w:r>
    </w:p>
    <w:p w14:paraId="157EA1F6" w14:textId="77777777" w:rsidR="00561C14" w:rsidRPr="005114EC" w:rsidRDefault="00561C14" w:rsidP="002342D6">
      <w:pPr>
        <w:pStyle w:val="Heading1"/>
        <w:tabs>
          <w:tab w:val="clear" w:pos="450"/>
          <w:tab w:val="num" w:pos="360"/>
        </w:tabs>
        <w:spacing w:before="0" w:after="160"/>
        <w:ind w:left="360" w:hanging="360"/>
        <w:rPr>
          <w:rFonts w:eastAsia="SimSun"/>
          <w:b w:val="0"/>
        </w:rPr>
      </w:pPr>
      <w:r>
        <w:t xml:space="preserve">LEGGE APPLICABILE.  </w:t>
      </w:r>
      <w:r>
        <w:rPr>
          <w:b w:val="0"/>
        </w:rPr>
        <w:t>Qualora il software sia stato acquistato negli Stati Uniti, il presente contratto è interpretato in base alla legge dello Stato di Washington e tale legge si applica ai reclami aventi ad oggetto gli inadempimenti di tale contratto, mentre a tutti gli altri reclami si applicano le leggi dello Stato di residenza del licenziatario. Qualora il licenziatario abbia acquistato il software in qualsivoglia altro Paese, il presente contratto sarà disciplinato dalla legge di tale Stato.</w:t>
      </w:r>
    </w:p>
    <w:p w14:paraId="36182406" w14:textId="77777777" w:rsidR="00141F26" w:rsidRPr="005114EC" w:rsidRDefault="00141F26" w:rsidP="002342D6">
      <w:pPr>
        <w:pStyle w:val="Heading1"/>
        <w:tabs>
          <w:tab w:val="clear" w:pos="450"/>
          <w:tab w:val="num" w:pos="360"/>
        </w:tabs>
        <w:spacing w:before="0" w:after="160"/>
        <w:ind w:left="360" w:hanging="360"/>
        <w:rPr>
          <w:b w:val="0"/>
        </w:rPr>
      </w:pPr>
      <w:r>
        <w:t xml:space="preserve">DIRITTI DEI CONSUMATORI, VARIAZIONI REGIONALI. </w:t>
      </w:r>
      <w:r>
        <w:rPr>
          <w:b w:val="0"/>
        </w:rPr>
        <w:t>Il presente contratto descrive determinati diritti. Il licenziatario potrà avere altri diritti, tra cui i diritti dei consumatori, ai sensi delle leggi del Paese di residenza. Autonomamente da Microsoft, il licenziatario potrebbe, inoltre, vantare ulteriori diritti direttamente nei confronti della parte presso la quale ha acquistato il software. Il presente contratto non modifica ulteriori altri diritti che le leggi del Paese o dello Stato di residenza del licenziatario non consentono di modificare. Ad esempio, qualora il licenziatario abbia acquistato il software in una delle aree indicate di seguito o si applichi la legge obbligatoria del Paese, sono valide le seguenti disposizioni:</w:t>
      </w:r>
    </w:p>
    <w:p w14:paraId="572AC2DC" w14:textId="77777777" w:rsidR="00141F26" w:rsidRPr="003E1F6C" w:rsidRDefault="00141F26" w:rsidP="002342D6">
      <w:pPr>
        <w:pStyle w:val="Heading2"/>
        <w:numPr>
          <w:ilvl w:val="0"/>
          <w:numId w:val="32"/>
        </w:numPr>
        <w:spacing w:before="0" w:after="160"/>
        <w:rPr>
          <w:b w:val="0"/>
        </w:rPr>
      </w:pPr>
      <w:r>
        <w:t xml:space="preserve">Australia. </w:t>
      </w:r>
      <w:r>
        <w:rPr>
          <w:b w:val="0"/>
        </w:rPr>
        <w:t>Il licenziatario è soggetto alle garanzie di legge previste dalla Australian Consumer Law e nessuna disposizione contenuta nel presente contratto influisce su tali diritti.</w:t>
      </w:r>
    </w:p>
    <w:p w14:paraId="1E82531B" w14:textId="77777777" w:rsidR="00141F26" w:rsidRPr="003E1F6C" w:rsidRDefault="00141F26" w:rsidP="002342D6">
      <w:pPr>
        <w:pStyle w:val="Heading2"/>
        <w:numPr>
          <w:ilvl w:val="0"/>
          <w:numId w:val="32"/>
        </w:numPr>
        <w:spacing w:before="0" w:after="160"/>
        <w:rPr>
          <w:b w:val="0"/>
        </w:rPr>
      </w:pPr>
      <w:r>
        <w:lastRenderedPageBreak/>
        <w:t xml:space="preserve">Canada. </w:t>
      </w:r>
      <w:r>
        <w:rPr>
          <w:b w:val="0"/>
        </w:rPr>
        <w:t>Qualora il software sia stato acquistato in Canada, il licenziatario potrà interrompere la ricezione degli aggiornamenti disattivando la funzionalità di aggiornamento automatico, disconnettendo il dispositivo da Internet (tuttavia, nell’eventualità e quando il licenziatario si riconnetterà a Internet, il software riprenderà a controllare se sono presenti aggiornamenti e a installarli) oppure disinstallando il software. Nell’eventuale documentazione del prodotto è possibile che sia inoltre specificato come il licenziatario potrà disattivare gli aggiornamenti per il dispositivo o il software in uso.</w:t>
      </w:r>
    </w:p>
    <w:p w14:paraId="08BAFCD7" w14:textId="77777777" w:rsidR="00141F26" w:rsidRPr="00C66EC7" w:rsidRDefault="00141F26" w:rsidP="002342D6">
      <w:pPr>
        <w:pStyle w:val="Heading2"/>
        <w:numPr>
          <w:ilvl w:val="0"/>
          <w:numId w:val="32"/>
        </w:numPr>
        <w:spacing w:before="0" w:after="160"/>
      </w:pPr>
      <w:r>
        <w:t>Germania e Austria.</w:t>
      </w:r>
    </w:p>
    <w:p w14:paraId="08828945" w14:textId="77777777" w:rsidR="00141F26" w:rsidRPr="00C66EC7" w:rsidRDefault="00141F26" w:rsidP="002342D6">
      <w:pPr>
        <w:spacing w:before="0" w:after="160"/>
        <w:ind w:left="1080" w:hanging="363"/>
      </w:pPr>
      <w:r>
        <w:rPr>
          <w:b/>
        </w:rPr>
        <w:t>(i)</w:t>
      </w:r>
      <w:r>
        <w:tab/>
      </w:r>
      <w:r>
        <w:rPr>
          <w:b/>
        </w:rPr>
        <w:t>Garanzia</w:t>
      </w:r>
      <w:r>
        <w:t>. Il software validamente concesso in licenza funzionerà in sostanziale conformità a quanto descritto nel materiale Microsoft fornito con il software. Tuttavia, Microsoft non fornisce alcuna garanzia contrattuale in relazione al software concesso in licenza.</w:t>
      </w:r>
    </w:p>
    <w:p w14:paraId="12D8C248" w14:textId="77777777" w:rsidR="00141F26" w:rsidRPr="00C66EC7" w:rsidRDefault="00141F26" w:rsidP="002342D6">
      <w:pPr>
        <w:spacing w:before="0" w:after="160"/>
        <w:ind w:left="1080" w:hanging="363"/>
      </w:pPr>
      <w:r>
        <w:rPr>
          <w:b/>
        </w:rPr>
        <w:t>(ii)</w:t>
      </w:r>
      <w:r>
        <w:tab/>
      </w:r>
      <w:r>
        <w:rPr>
          <w:b/>
        </w:rPr>
        <w:t>Limitazione di responsabilità</w:t>
      </w:r>
      <w:r>
        <w:t>. In caso di comportamento intenzionale, colpa grave, reclami basati sulla Legge in materia di Responsabilità Prodotto, così come in caso di morte o lesioni personali, Microsoft è responsabile in conformità alla legge imperativa.</w:t>
      </w:r>
    </w:p>
    <w:p w14:paraId="20A21010" w14:textId="2E92A70D" w:rsidR="00141F26" w:rsidRPr="005114EC" w:rsidRDefault="00141F26" w:rsidP="002342D6">
      <w:pPr>
        <w:pStyle w:val="Heading1"/>
        <w:numPr>
          <w:ilvl w:val="0"/>
          <w:numId w:val="0"/>
        </w:numPr>
        <w:spacing w:before="0" w:after="160"/>
        <w:ind w:left="717"/>
        <w:rPr>
          <w:b w:val="0"/>
        </w:rPr>
      </w:pPr>
      <w:r>
        <w:rPr>
          <w:b w:val="0"/>
        </w:rPr>
        <w:t>In riferimento a quanto detto nella clausola precedente (ii), Microsoft sarà responsabile solo di colpa lieve qualora sia inadempiente a tali obbligazioni contrattuali sostanziali, il cui adempimento facilita la debita esecuzione del presente contratto, il cui inadempimento metterebbe in pericolo lo scopo del presente contratto e alla cui conformità una parte potrà costantemente fare affidamento (le cosiddette “obbligazioni fondamentali”). In altri casi di colpa lieve Microsoft non sarà responsabile di tale colpa.</w:t>
      </w:r>
    </w:p>
    <w:p w14:paraId="625B6D6C" w14:textId="77777777" w:rsidR="00561C14" w:rsidRPr="00C66EC7" w:rsidRDefault="00561C14" w:rsidP="002342D6">
      <w:pPr>
        <w:pStyle w:val="Heading1"/>
        <w:tabs>
          <w:tab w:val="clear" w:pos="450"/>
          <w:tab w:val="num" w:pos="360"/>
        </w:tabs>
        <w:spacing w:before="0" w:after="160"/>
        <w:ind w:left="360" w:hanging="360"/>
      </w:pPr>
      <w:r>
        <w:t>ESCLUSIONE DI GARANZIE. IL SOFTWARE È CONCESSO IN LICENZA "COSÌ COM'È". IL LICENZIATARIO SI ASSUME OGNI RISCHIO DERIVANTE DALL'UTILIZZO DEL SOFTWARE. MICROSOFT NON FORNISCE GARANZIE O CONDIZIONI ESPLICITE. NELLA MISURA MASSIMA CONSENTITA DALLA LEGGE LOCALE, MICROSOFT ESCLUDE EVENTUALI GARANZIE IMPLICITE DI COMMERCIABILITÀ, ADEGUATEZZA PER UNO SCOPO SPECIFICO E NON VIOLAZIONE DI DIRITTI DI TERZI.</w:t>
      </w:r>
    </w:p>
    <w:p w14:paraId="6881C3DD" w14:textId="45B83040" w:rsidR="00561C14" w:rsidRPr="00C66EC7" w:rsidRDefault="00561C14" w:rsidP="002342D6">
      <w:pPr>
        <w:pStyle w:val="Heading1"/>
        <w:tabs>
          <w:tab w:val="clear" w:pos="450"/>
          <w:tab w:val="num" w:pos="360"/>
        </w:tabs>
        <w:spacing w:before="0" w:after="160"/>
        <w:ind w:left="360" w:hanging="360"/>
      </w:pPr>
      <w:r>
        <w:t>LIMITAZIONE RELATIVA AI DANNI. IL LICENZIATARIO PUÒ RICHIEDERE A MICROSOFT E AI SUOI FORNITORI IL SOLO RISARCIMENTO PER I DANNI DIRETTI NEL LIMITE DI $5.00. IL LICENZIATARIO NON POTRÀ RICHIEDERE IL RISARCIMENTO PER EVENTUALI ALTRI DANNI, INCLUSI I DANNI CONSEQUENZIALI, SPECIALI, INDIRETTI O INCIDENTALI O RELATIVI ALLA PERDITA DI PROFITTI.</w:t>
      </w:r>
    </w:p>
    <w:p w14:paraId="5543EA3F" w14:textId="6AE0ECF8" w:rsidR="00561C14" w:rsidRPr="00C66EC7" w:rsidRDefault="00561C14" w:rsidP="002342D6">
      <w:pPr>
        <w:pStyle w:val="Body1"/>
        <w:spacing w:before="0" w:after="160"/>
        <w:ind w:left="360"/>
      </w:pPr>
      <w:r>
        <w:t>Questa limitazione si applica (a) a qualsiasi questione relativa al software, ai servizi, al contenuto (incluso il codice) sui siti Internet o nelle applicazioni di terzi e (b) ai reclami relativi a inadempimento contrattuale, inadempimento delle garanzie o delle condizioni, responsabilità oggettiva, negligenza o altro illecito civile nella misura massima consentita dalla legge applicabile.</w:t>
      </w:r>
    </w:p>
    <w:p w14:paraId="297E617C" w14:textId="77777777" w:rsidR="00561C14" w:rsidRPr="00C66EC7" w:rsidRDefault="00561C14" w:rsidP="002342D6">
      <w:pPr>
        <w:spacing w:before="0" w:after="160"/>
        <w:ind w:left="360"/>
      </w:pPr>
      <w:r>
        <w:t>Tale limitazione si applica anche nel caso in cui Microsoft era informata o avrebbe dovuto essere informata della possibilità del verificarsi di tali danni. La limitazione o l’esclusione di cui sopra potrebbe non essere applicabile al licenziatario, in quanto l’esclusione o la limitazione di danni incidentali, consequenziali o di altro tipo potrebbe non essere consentita nel Paese di residenza del licenziatario.</w:t>
      </w:r>
    </w:p>
    <w:p w14:paraId="72D3FB7E" w14:textId="2BA1F807" w:rsidR="00396E3C" w:rsidRPr="00C66EC7" w:rsidRDefault="00F85139" w:rsidP="00DD7970">
      <w:pPr>
        <w:spacing w:before="0" w:after="160"/>
        <w:ind w:hanging="357"/>
      </w:pPr>
      <w:r>
        <w:rPr>
          <w:color w:val="000000"/>
        </w:rPr>
        <w:t xml:space="preserve">EULAID: </w:t>
      </w:r>
      <w:r>
        <w:rPr>
          <w:color w:val="1F3864"/>
        </w:rPr>
        <w:t>VS2017_CTP_EVAL_VS_</w:t>
      </w:r>
      <w:r w:rsidR="008F3ED5">
        <w:rPr>
          <w:color w:val="1F3864"/>
        </w:rPr>
        <w:t>ITA</w:t>
      </w:r>
      <w:r>
        <w:rPr>
          <w:color w:val="1F3864"/>
        </w:rPr>
        <w:t xml:space="preserve">.3 </w:t>
      </w:r>
      <w:r>
        <w:rPr>
          <w:rFonts w:ascii="Candara" w:hAnsi="Candara"/>
          <w:color w:val="1F3864"/>
          <w:sz w:val="24"/>
        </w:rPr>
        <w:t> </w:t>
      </w:r>
    </w:p>
    <w:sectPr w:rsidR="00396E3C" w:rsidRPr="00C66E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54ABB" w14:textId="77777777" w:rsidR="005A6C65" w:rsidRDefault="005A6C65" w:rsidP="005A6C65">
      <w:pPr>
        <w:spacing w:before="0" w:after="0"/>
      </w:pPr>
      <w:r>
        <w:separator/>
      </w:r>
    </w:p>
  </w:endnote>
  <w:endnote w:type="continuationSeparator" w:id="0">
    <w:p w14:paraId="48C36EC1" w14:textId="77777777" w:rsidR="005A6C65" w:rsidRDefault="005A6C65" w:rsidP="005A6C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69AE5" w14:textId="77777777" w:rsidR="005A6C65" w:rsidRDefault="005A6C65" w:rsidP="005A6C65">
      <w:pPr>
        <w:spacing w:before="0" w:after="0"/>
      </w:pPr>
      <w:r>
        <w:separator/>
      </w:r>
    </w:p>
  </w:footnote>
  <w:footnote w:type="continuationSeparator" w:id="0">
    <w:p w14:paraId="23D5C237" w14:textId="77777777" w:rsidR="005A6C65" w:rsidRDefault="005A6C65" w:rsidP="005A6C6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30EA"/>
    <w:multiLevelType w:val="hybridMultilevel"/>
    <w:tmpl w:val="F29CDA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B5416C"/>
    <w:multiLevelType w:val="hybridMultilevel"/>
    <w:tmpl w:val="24EE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40C0F"/>
    <w:multiLevelType w:val="multilevel"/>
    <w:tmpl w:val="970AF510"/>
    <w:lvl w:ilvl="0">
      <w:start w:val="1"/>
      <w:numFmt w:val="decimal"/>
      <w:lvlText w:val="%1."/>
      <w:lvlJc w:val="left"/>
      <w:pPr>
        <w:tabs>
          <w:tab w:val="num" w:pos="540"/>
        </w:tabs>
        <w:ind w:left="537" w:hanging="357"/>
      </w:pPr>
      <w:rPr>
        <w:rFonts w:ascii="Tahoma" w:hAnsi="Tahoma" w:cs="Tahoma" w:hint="default"/>
        <w:b/>
        <w:bCs/>
        <w:i w:val="0"/>
        <w:iCs w:val="0"/>
        <w:sz w:val="20"/>
        <w:szCs w:val="20"/>
      </w:rPr>
    </w:lvl>
    <w:lvl w:ilvl="1">
      <w:start w:val="1"/>
      <w:numFmt w:val="lowerLetter"/>
      <w:lvlText w:val="%2."/>
      <w:lvlJc w:val="left"/>
      <w:pPr>
        <w:tabs>
          <w:tab w:val="num" w:pos="5403"/>
        </w:tabs>
        <w:ind w:left="5403" w:hanging="363"/>
      </w:pPr>
      <w:rPr>
        <w:rFonts w:ascii="Tahoma" w:hAnsi="Tahoma" w:cs="Tahoma"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21AF663A"/>
    <w:multiLevelType w:val="hybridMultilevel"/>
    <w:tmpl w:val="292E36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31E008C"/>
    <w:multiLevelType w:val="hybridMultilevel"/>
    <w:tmpl w:val="EB7EE27C"/>
    <w:lvl w:ilvl="0" w:tplc="49E64E6C">
      <w:start w:val="1"/>
      <w:numFmt w:val="lowerLetter"/>
      <w:lvlText w:val="%1."/>
      <w:lvlJc w:val="left"/>
      <w:pPr>
        <w:ind w:left="1080" w:hanging="36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8D3A36"/>
    <w:multiLevelType w:val="hybridMultilevel"/>
    <w:tmpl w:val="C7DA85D2"/>
    <w:lvl w:ilvl="0" w:tplc="04090001">
      <w:start w:val="1"/>
      <w:numFmt w:val="bullet"/>
      <w:lvlText w:val=""/>
      <w:lvlJc w:val="left"/>
      <w:pPr>
        <w:ind w:left="1440" w:hanging="360"/>
      </w:pPr>
      <w:rPr>
        <w:rFonts w:ascii="Symbol" w:hAnsi="Symbo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CD51C57"/>
    <w:multiLevelType w:val="multilevel"/>
    <w:tmpl w:val="7930ADBA"/>
    <w:lvl w:ilvl="0">
      <w:start w:val="1"/>
      <w:numFmt w:val="decimal"/>
      <w:pStyle w:val="Heading1"/>
      <w:lvlText w:val="%1."/>
      <w:lvlJc w:val="left"/>
      <w:pPr>
        <w:tabs>
          <w:tab w:val="num" w:pos="450"/>
        </w:tabs>
        <w:ind w:left="447" w:hanging="357"/>
      </w:pPr>
      <w:rPr>
        <w:rFonts w:ascii="Tahoma" w:hAnsi="Tahoma" w:cs="Tahoma" w:hint="default"/>
        <w:b/>
        <w:bCs/>
        <w:i w:val="0"/>
        <w:iCs w:val="0"/>
        <w:color w:val="auto"/>
        <w:sz w:val="20"/>
        <w:szCs w:val="20"/>
      </w:rPr>
    </w:lvl>
    <w:lvl w:ilvl="1">
      <w:start w:val="1"/>
      <w:numFmt w:val="lowerLetter"/>
      <w:pStyle w:val="Heading2"/>
      <w:lvlText w:val="%2."/>
      <w:lvlJc w:val="left"/>
      <w:pPr>
        <w:tabs>
          <w:tab w:val="num" w:pos="810"/>
        </w:tabs>
        <w:ind w:left="810" w:hanging="363"/>
      </w:pPr>
      <w:rPr>
        <w:rFonts w:ascii="Tahoma" w:hAnsi="Tahoma" w:cs="Tahoma" w:hint="default"/>
        <w:b/>
        <w:bCs/>
        <w:i w:val="0"/>
        <w:iCs w:val="0"/>
        <w:sz w:val="20"/>
        <w:szCs w:val="20"/>
      </w:rPr>
    </w:lvl>
    <w:lvl w:ilvl="2">
      <w:start w:val="1"/>
      <w:numFmt w:val="lowerRoman"/>
      <w:pStyle w:val="Heading3"/>
      <w:lvlText w:val="%3."/>
      <w:lvlJc w:val="left"/>
      <w:pPr>
        <w:tabs>
          <w:tab w:val="num" w:pos="1530"/>
        </w:tabs>
        <w:ind w:left="1167" w:hanging="357"/>
      </w:pPr>
      <w:rPr>
        <w:rFonts w:ascii="Tahoma" w:hAnsi="Tahoma" w:cs="Tahoma" w:hint="default"/>
        <w:b/>
        <w:bCs/>
        <w:i w:val="0"/>
        <w:iCs w:val="0"/>
        <w:sz w:val="20"/>
        <w:szCs w:val="20"/>
      </w:rPr>
    </w:lvl>
    <w:lvl w:ilvl="3">
      <w:start w:val="1"/>
      <w:numFmt w:val="upperLetter"/>
      <w:pStyle w:val="Heading4"/>
      <w:lvlText w:val="%4."/>
      <w:lvlJc w:val="left"/>
      <w:pPr>
        <w:tabs>
          <w:tab w:val="num" w:pos="1527"/>
        </w:tabs>
        <w:ind w:left="152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245"/>
        </w:tabs>
        <w:ind w:left="188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242"/>
        </w:tabs>
        <w:ind w:left="223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99"/>
        </w:tabs>
        <w:ind w:left="259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956"/>
        </w:tabs>
        <w:ind w:left="295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313"/>
        </w:tabs>
        <w:ind w:left="3311" w:hanging="358"/>
      </w:pPr>
      <w:rPr>
        <w:rFonts w:ascii="Trebuchet MS" w:hAnsi="Trebuchet MS" w:cs="Trebuchet MS" w:hint="default"/>
        <w:b w:val="0"/>
        <w:bCs w:val="0"/>
        <w:i w:val="0"/>
        <w:iCs w:val="0"/>
        <w:sz w:val="20"/>
        <w:szCs w:val="20"/>
      </w:rPr>
    </w:lvl>
  </w:abstractNum>
  <w:abstractNum w:abstractNumId="9" w15:restartNumberingAfterBreak="0">
    <w:nsid w:val="4E9A2582"/>
    <w:multiLevelType w:val="hybridMultilevel"/>
    <w:tmpl w:val="2CFAE9B2"/>
    <w:lvl w:ilvl="0" w:tplc="E43A4562">
      <w:start w:val="1"/>
      <w:numFmt w:val="lowerLetter"/>
      <w:lvlText w:val="%1."/>
      <w:lvlJc w:val="left"/>
      <w:pPr>
        <w:ind w:left="108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E373A"/>
    <w:multiLevelType w:val="hybridMultilevel"/>
    <w:tmpl w:val="E2B03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870403"/>
    <w:multiLevelType w:val="multilevel"/>
    <w:tmpl w:val="DE0C2A7E"/>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num w:numId="1">
    <w:abstractNumId w:val="3"/>
  </w:num>
  <w:num w:numId="2">
    <w:abstractNumId w:val="11"/>
  </w:num>
  <w:num w:numId="3">
    <w:abstractNumId w:val="10"/>
  </w:num>
  <w:num w:numId="4">
    <w:abstractNumId w:val="8"/>
  </w:num>
  <w:num w:numId="5">
    <w:abstractNumId w:val="13"/>
  </w:num>
  <w:num w:numId="6">
    <w:abstractNumId w:val="10"/>
  </w:num>
  <w:num w:numId="7">
    <w:abstractNumId w:val="8"/>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8"/>
  </w:num>
  <w:num w:numId="14">
    <w:abstractNumId w:val="10"/>
  </w:num>
  <w:num w:numId="15">
    <w:abstractNumId w:val="10"/>
  </w:num>
  <w:num w:numId="16">
    <w:abstractNumId w:val="12"/>
  </w:num>
  <w:num w:numId="17">
    <w:abstractNumId w:val="8"/>
  </w:num>
  <w:num w:numId="18">
    <w:abstractNumId w:val="8"/>
  </w:num>
  <w:num w:numId="19">
    <w:abstractNumId w:val="6"/>
  </w:num>
  <w:num w:numId="20">
    <w:abstractNumId w:val="8"/>
  </w:num>
  <w:num w:numId="21">
    <w:abstractNumId w:val="9"/>
  </w:num>
  <w:num w:numId="22">
    <w:abstractNumId w:val="7"/>
  </w:num>
  <w:num w:numId="23">
    <w:abstractNumId w:val="2"/>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4"/>
  </w:num>
  <w:num w:numId="27">
    <w:abstractNumId w:val="10"/>
  </w:num>
  <w:num w:numId="28">
    <w:abstractNumId w:val="5"/>
  </w:num>
  <w:num w:numId="29">
    <w:abstractNumId w:val="8"/>
  </w:num>
  <w:num w:numId="30">
    <w:abstractNumId w:val="11"/>
  </w:num>
  <w:num w:numId="31">
    <w:abstractNumId w:val="4"/>
  </w:num>
  <w:num w:numId="32">
    <w:abstractNumId w:val="15"/>
  </w:num>
  <w:num w:numId="33">
    <w:abstractNumId w:val="0"/>
  </w:num>
  <w:num w:numId="34">
    <w:abstractNumId w:val="8"/>
  </w:num>
  <w:num w:numId="35">
    <w:abstractNumId w:val="8"/>
  </w:num>
  <w:num w:numId="36">
    <w:abstractNumId w:val="8"/>
  </w:num>
  <w:num w:numId="37">
    <w:abstractNumId w:val="8"/>
  </w:num>
  <w:num w:numId="38">
    <w:abstractNumId w:val="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14"/>
    <w:rsid w:val="00006A09"/>
    <w:rsid w:val="000224DF"/>
    <w:rsid w:val="00035AD8"/>
    <w:rsid w:val="000412E4"/>
    <w:rsid w:val="000475AB"/>
    <w:rsid w:val="00055A8F"/>
    <w:rsid w:val="000603AE"/>
    <w:rsid w:val="000632D9"/>
    <w:rsid w:val="00073C7B"/>
    <w:rsid w:val="00074A31"/>
    <w:rsid w:val="00082790"/>
    <w:rsid w:val="000B6D90"/>
    <w:rsid w:val="000D5258"/>
    <w:rsid w:val="000D57A3"/>
    <w:rsid w:val="000E775D"/>
    <w:rsid w:val="000F22A4"/>
    <w:rsid w:val="00100963"/>
    <w:rsid w:val="00102582"/>
    <w:rsid w:val="00136B59"/>
    <w:rsid w:val="001372CC"/>
    <w:rsid w:val="00141F26"/>
    <w:rsid w:val="00145590"/>
    <w:rsid w:val="00153AE0"/>
    <w:rsid w:val="00165465"/>
    <w:rsid w:val="001C078A"/>
    <w:rsid w:val="001C2A65"/>
    <w:rsid w:val="001C2CBE"/>
    <w:rsid w:val="001E34BE"/>
    <w:rsid w:val="001E552B"/>
    <w:rsid w:val="001F7F3D"/>
    <w:rsid w:val="00200841"/>
    <w:rsid w:val="00230B59"/>
    <w:rsid w:val="002342D6"/>
    <w:rsid w:val="0024138C"/>
    <w:rsid w:val="00243B16"/>
    <w:rsid w:val="002728EA"/>
    <w:rsid w:val="00290ACF"/>
    <w:rsid w:val="002917D4"/>
    <w:rsid w:val="0029683E"/>
    <w:rsid w:val="00296BEA"/>
    <w:rsid w:val="002A3611"/>
    <w:rsid w:val="002B30DE"/>
    <w:rsid w:val="002B3B99"/>
    <w:rsid w:val="002B4F8C"/>
    <w:rsid w:val="002B61B3"/>
    <w:rsid w:val="002D6E56"/>
    <w:rsid w:val="00314D64"/>
    <w:rsid w:val="00331E93"/>
    <w:rsid w:val="003365BA"/>
    <w:rsid w:val="00360F62"/>
    <w:rsid w:val="00376644"/>
    <w:rsid w:val="00396E3C"/>
    <w:rsid w:val="003B5050"/>
    <w:rsid w:val="003C37A1"/>
    <w:rsid w:val="003D1BE4"/>
    <w:rsid w:val="003E1F6C"/>
    <w:rsid w:val="003F63B4"/>
    <w:rsid w:val="00400EAC"/>
    <w:rsid w:val="00407C5A"/>
    <w:rsid w:val="00407CCA"/>
    <w:rsid w:val="0041396C"/>
    <w:rsid w:val="00416EA4"/>
    <w:rsid w:val="00417214"/>
    <w:rsid w:val="00431BCC"/>
    <w:rsid w:val="004446EF"/>
    <w:rsid w:val="004A083A"/>
    <w:rsid w:val="004B3A81"/>
    <w:rsid w:val="004B44E1"/>
    <w:rsid w:val="004B5229"/>
    <w:rsid w:val="004C3AAC"/>
    <w:rsid w:val="005114EC"/>
    <w:rsid w:val="00531684"/>
    <w:rsid w:val="0053565B"/>
    <w:rsid w:val="00536564"/>
    <w:rsid w:val="00536DF3"/>
    <w:rsid w:val="00541550"/>
    <w:rsid w:val="00543875"/>
    <w:rsid w:val="005506A4"/>
    <w:rsid w:val="00551D5D"/>
    <w:rsid w:val="00561C14"/>
    <w:rsid w:val="00563EFB"/>
    <w:rsid w:val="005944EE"/>
    <w:rsid w:val="005A0C75"/>
    <w:rsid w:val="005A43CF"/>
    <w:rsid w:val="005A6C65"/>
    <w:rsid w:val="005B2BF0"/>
    <w:rsid w:val="005C17E8"/>
    <w:rsid w:val="005C4E42"/>
    <w:rsid w:val="005D08BE"/>
    <w:rsid w:val="005E3CEB"/>
    <w:rsid w:val="005F4798"/>
    <w:rsid w:val="006265EF"/>
    <w:rsid w:val="00636B2C"/>
    <w:rsid w:val="006502F4"/>
    <w:rsid w:val="00661CED"/>
    <w:rsid w:val="0066355C"/>
    <w:rsid w:val="00667F7B"/>
    <w:rsid w:val="006804B8"/>
    <w:rsid w:val="006833EF"/>
    <w:rsid w:val="006A74DC"/>
    <w:rsid w:val="006C501F"/>
    <w:rsid w:val="006E6981"/>
    <w:rsid w:val="006F342A"/>
    <w:rsid w:val="0070256E"/>
    <w:rsid w:val="0070661B"/>
    <w:rsid w:val="007133B3"/>
    <w:rsid w:val="007134FC"/>
    <w:rsid w:val="00730F64"/>
    <w:rsid w:val="00732DD7"/>
    <w:rsid w:val="00740F6E"/>
    <w:rsid w:val="00754170"/>
    <w:rsid w:val="007579C4"/>
    <w:rsid w:val="007867E0"/>
    <w:rsid w:val="007954AD"/>
    <w:rsid w:val="007B3889"/>
    <w:rsid w:val="007C21DD"/>
    <w:rsid w:val="007C6A8E"/>
    <w:rsid w:val="007F1DF1"/>
    <w:rsid w:val="008034A9"/>
    <w:rsid w:val="008060BE"/>
    <w:rsid w:val="0081114E"/>
    <w:rsid w:val="00824218"/>
    <w:rsid w:val="0083050A"/>
    <w:rsid w:val="008352E8"/>
    <w:rsid w:val="00845E6D"/>
    <w:rsid w:val="0084687F"/>
    <w:rsid w:val="00852B01"/>
    <w:rsid w:val="008640F1"/>
    <w:rsid w:val="008668FC"/>
    <w:rsid w:val="00870029"/>
    <w:rsid w:val="008723A0"/>
    <w:rsid w:val="00894F25"/>
    <w:rsid w:val="0089566E"/>
    <w:rsid w:val="008A1EEB"/>
    <w:rsid w:val="008E0C30"/>
    <w:rsid w:val="008F3ED5"/>
    <w:rsid w:val="009009D1"/>
    <w:rsid w:val="00902CD0"/>
    <w:rsid w:val="009206E8"/>
    <w:rsid w:val="009254AF"/>
    <w:rsid w:val="00946C43"/>
    <w:rsid w:val="009476D1"/>
    <w:rsid w:val="00951E13"/>
    <w:rsid w:val="009721E3"/>
    <w:rsid w:val="00985582"/>
    <w:rsid w:val="00990706"/>
    <w:rsid w:val="009A1F56"/>
    <w:rsid w:val="009B07F5"/>
    <w:rsid w:val="009D0F96"/>
    <w:rsid w:val="009D5775"/>
    <w:rsid w:val="009E4EA1"/>
    <w:rsid w:val="009F2253"/>
    <w:rsid w:val="009F489C"/>
    <w:rsid w:val="00A038C5"/>
    <w:rsid w:val="00A1448B"/>
    <w:rsid w:val="00A26A74"/>
    <w:rsid w:val="00A36DC2"/>
    <w:rsid w:val="00A45676"/>
    <w:rsid w:val="00A548FD"/>
    <w:rsid w:val="00A73297"/>
    <w:rsid w:val="00A850C7"/>
    <w:rsid w:val="00A86FBD"/>
    <w:rsid w:val="00AA0100"/>
    <w:rsid w:val="00AB450C"/>
    <w:rsid w:val="00AB5B7C"/>
    <w:rsid w:val="00AD22E2"/>
    <w:rsid w:val="00AD48A4"/>
    <w:rsid w:val="00AD4F3A"/>
    <w:rsid w:val="00AD545F"/>
    <w:rsid w:val="00AE70A0"/>
    <w:rsid w:val="00B16B8E"/>
    <w:rsid w:val="00B17EE2"/>
    <w:rsid w:val="00B27648"/>
    <w:rsid w:val="00B7506F"/>
    <w:rsid w:val="00B93B4D"/>
    <w:rsid w:val="00BE2E12"/>
    <w:rsid w:val="00C012A0"/>
    <w:rsid w:val="00C21CF3"/>
    <w:rsid w:val="00C249B7"/>
    <w:rsid w:val="00C41708"/>
    <w:rsid w:val="00C42B00"/>
    <w:rsid w:val="00C45400"/>
    <w:rsid w:val="00C56CF0"/>
    <w:rsid w:val="00C66EC7"/>
    <w:rsid w:val="00C7673D"/>
    <w:rsid w:val="00C8335E"/>
    <w:rsid w:val="00C852AF"/>
    <w:rsid w:val="00CA3ED0"/>
    <w:rsid w:val="00CB1CFE"/>
    <w:rsid w:val="00CC0F55"/>
    <w:rsid w:val="00CD4F20"/>
    <w:rsid w:val="00CE75EA"/>
    <w:rsid w:val="00CF725A"/>
    <w:rsid w:val="00D015E8"/>
    <w:rsid w:val="00D028FC"/>
    <w:rsid w:val="00D11AC6"/>
    <w:rsid w:val="00D154B4"/>
    <w:rsid w:val="00D171EC"/>
    <w:rsid w:val="00D478B0"/>
    <w:rsid w:val="00D5332D"/>
    <w:rsid w:val="00D5366A"/>
    <w:rsid w:val="00D62D7C"/>
    <w:rsid w:val="00D76620"/>
    <w:rsid w:val="00DA6A2A"/>
    <w:rsid w:val="00DB152D"/>
    <w:rsid w:val="00DB15B2"/>
    <w:rsid w:val="00DC2D01"/>
    <w:rsid w:val="00DD1AC0"/>
    <w:rsid w:val="00DD7970"/>
    <w:rsid w:val="00E16347"/>
    <w:rsid w:val="00E35AB1"/>
    <w:rsid w:val="00E4579E"/>
    <w:rsid w:val="00E8156A"/>
    <w:rsid w:val="00E84E5B"/>
    <w:rsid w:val="00E858A3"/>
    <w:rsid w:val="00EA2EBE"/>
    <w:rsid w:val="00EA4FB4"/>
    <w:rsid w:val="00EB70C9"/>
    <w:rsid w:val="00EC19D1"/>
    <w:rsid w:val="00EC7E1B"/>
    <w:rsid w:val="00ED449D"/>
    <w:rsid w:val="00EF687F"/>
    <w:rsid w:val="00F31D78"/>
    <w:rsid w:val="00F361EA"/>
    <w:rsid w:val="00F439D1"/>
    <w:rsid w:val="00F547CF"/>
    <w:rsid w:val="00F77B4C"/>
    <w:rsid w:val="00F81F46"/>
    <w:rsid w:val="00F85139"/>
    <w:rsid w:val="00F91367"/>
    <w:rsid w:val="00F92856"/>
    <w:rsid w:val="00FA1BA1"/>
    <w:rsid w:val="00FA7239"/>
    <w:rsid w:val="00FB37B3"/>
    <w:rsid w:val="00FE34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48662"/>
  <w15:docId w15:val="{12D4CB72-236F-435F-9EC7-8310D71B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894F25"/>
    <w:pPr>
      <w:spacing w:before="120" w:after="120" w:line="240" w:lineRule="auto"/>
      <w:ind w:left="717"/>
    </w:pPr>
    <w:rPr>
      <w:rFonts w:ascii="Tahoma" w:eastAsia="MS Mincho" w:hAnsi="Tahoma" w:cs="Tahoma"/>
      <w:sz w:val="19"/>
      <w:szCs w:val="19"/>
    </w:rPr>
  </w:style>
  <w:style w:type="paragraph" w:styleId="Heading1">
    <w:name w:val="heading 1"/>
    <w:basedOn w:val="Normal"/>
    <w:link w:val="Heading1Char"/>
    <w:uiPriority w:val="99"/>
    <w:qFormat/>
    <w:rsid w:val="00561C14"/>
    <w:pPr>
      <w:numPr>
        <w:numId w:val="4"/>
      </w:numPr>
      <w:outlineLvl w:val="0"/>
    </w:pPr>
    <w:rPr>
      <w:b/>
      <w:bCs/>
    </w:rPr>
  </w:style>
  <w:style w:type="paragraph" w:styleId="Heading2">
    <w:name w:val="heading 2"/>
    <w:basedOn w:val="Normal"/>
    <w:link w:val="Heading2Char"/>
    <w:uiPriority w:val="99"/>
    <w:qFormat/>
    <w:rsid w:val="00561C14"/>
    <w:pPr>
      <w:numPr>
        <w:ilvl w:val="1"/>
        <w:numId w:val="4"/>
      </w:numPr>
      <w:outlineLvl w:val="1"/>
    </w:pPr>
    <w:rPr>
      <w:b/>
      <w:bCs/>
    </w:rPr>
  </w:style>
  <w:style w:type="paragraph" w:styleId="Heading3">
    <w:name w:val="heading 3"/>
    <w:basedOn w:val="Normal"/>
    <w:link w:val="Heading3Char"/>
    <w:uiPriority w:val="99"/>
    <w:qFormat/>
    <w:rsid w:val="00561C14"/>
    <w:pPr>
      <w:numPr>
        <w:ilvl w:val="2"/>
        <w:numId w:val="4"/>
      </w:numPr>
      <w:tabs>
        <w:tab w:val="left" w:pos="1077"/>
      </w:tabs>
      <w:outlineLvl w:val="2"/>
    </w:pPr>
  </w:style>
  <w:style w:type="paragraph" w:styleId="Heading4">
    <w:name w:val="heading 4"/>
    <w:basedOn w:val="Normal"/>
    <w:link w:val="Heading4Char"/>
    <w:uiPriority w:val="99"/>
    <w:qFormat/>
    <w:rsid w:val="00561C14"/>
    <w:pPr>
      <w:numPr>
        <w:ilvl w:val="3"/>
        <w:numId w:val="4"/>
      </w:numPr>
      <w:outlineLvl w:val="3"/>
    </w:pPr>
  </w:style>
  <w:style w:type="paragraph" w:styleId="Heading5">
    <w:name w:val="heading 5"/>
    <w:basedOn w:val="Normal"/>
    <w:link w:val="Heading5Char"/>
    <w:uiPriority w:val="99"/>
    <w:qFormat/>
    <w:rsid w:val="00561C14"/>
    <w:pPr>
      <w:numPr>
        <w:ilvl w:val="4"/>
        <w:numId w:val="4"/>
      </w:numPr>
      <w:tabs>
        <w:tab w:val="left" w:pos="1792"/>
      </w:tabs>
      <w:outlineLvl w:val="4"/>
    </w:pPr>
  </w:style>
  <w:style w:type="paragraph" w:styleId="Heading6">
    <w:name w:val="heading 6"/>
    <w:basedOn w:val="Normal"/>
    <w:link w:val="Heading6Char"/>
    <w:uiPriority w:val="99"/>
    <w:qFormat/>
    <w:rsid w:val="00561C14"/>
    <w:pPr>
      <w:numPr>
        <w:ilvl w:val="5"/>
        <w:numId w:val="4"/>
      </w:numPr>
      <w:outlineLvl w:val="5"/>
    </w:pPr>
  </w:style>
  <w:style w:type="paragraph" w:styleId="Heading7">
    <w:name w:val="heading 7"/>
    <w:basedOn w:val="Normal"/>
    <w:link w:val="Heading7Char"/>
    <w:uiPriority w:val="99"/>
    <w:qFormat/>
    <w:rsid w:val="00561C14"/>
    <w:pPr>
      <w:numPr>
        <w:ilvl w:val="6"/>
        <w:numId w:val="4"/>
      </w:numPr>
      <w:outlineLvl w:val="6"/>
    </w:pPr>
  </w:style>
  <w:style w:type="paragraph" w:styleId="Heading8">
    <w:name w:val="heading 8"/>
    <w:basedOn w:val="Normal"/>
    <w:link w:val="Heading8Char"/>
    <w:uiPriority w:val="99"/>
    <w:qFormat/>
    <w:rsid w:val="00561C14"/>
    <w:pPr>
      <w:numPr>
        <w:ilvl w:val="7"/>
        <w:numId w:val="4"/>
      </w:numPr>
      <w:outlineLvl w:val="7"/>
    </w:pPr>
  </w:style>
  <w:style w:type="paragraph" w:styleId="Heading9">
    <w:name w:val="heading 9"/>
    <w:basedOn w:val="Normal"/>
    <w:link w:val="Heading9Char"/>
    <w:uiPriority w:val="99"/>
    <w:qFormat/>
    <w:rsid w:val="00561C14"/>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1C14"/>
    <w:rPr>
      <w:rFonts w:ascii="Tahoma" w:eastAsia="MS Mincho" w:hAnsi="Tahoma" w:cs="Tahoma"/>
      <w:b/>
      <w:bCs/>
      <w:sz w:val="19"/>
      <w:szCs w:val="19"/>
    </w:rPr>
  </w:style>
  <w:style w:type="character" w:customStyle="1" w:styleId="Heading2Char">
    <w:name w:val="Heading 2 Char"/>
    <w:basedOn w:val="DefaultParagraphFont"/>
    <w:link w:val="Heading2"/>
    <w:uiPriority w:val="99"/>
    <w:rsid w:val="00561C14"/>
    <w:rPr>
      <w:rFonts w:ascii="Tahoma" w:eastAsia="MS Mincho" w:hAnsi="Tahoma" w:cs="Tahoma"/>
      <w:b/>
      <w:bCs/>
      <w:sz w:val="19"/>
      <w:szCs w:val="19"/>
    </w:rPr>
  </w:style>
  <w:style w:type="character" w:customStyle="1" w:styleId="Heading3Char">
    <w:name w:val="Heading 3 Char"/>
    <w:basedOn w:val="DefaultParagraphFont"/>
    <w:link w:val="Heading3"/>
    <w:uiPriority w:val="99"/>
    <w:rsid w:val="00561C14"/>
    <w:rPr>
      <w:rFonts w:ascii="Tahoma" w:eastAsia="MS Mincho" w:hAnsi="Tahoma" w:cs="Tahoma"/>
      <w:sz w:val="19"/>
      <w:szCs w:val="19"/>
    </w:rPr>
  </w:style>
  <w:style w:type="character" w:customStyle="1" w:styleId="Heading4Char">
    <w:name w:val="Heading 4 Char"/>
    <w:basedOn w:val="DefaultParagraphFont"/>
    <w:link w:val="Heading4"/>
    <w:uiPriority w:val="99"/>
    <w:rsid w:val="00561C14"/>
    <w:rPr>
      <w:rFonts w:ascii="Tahoma" w:eastAsia="MS Mincho" w:hAnsi="Tahoma" w:cs="Tahoma"/>
      <w:sz w:val="19"/>
      <w:szCs w:val="19"/>
    </w:rPr>
  </w:style>
  <w:style w:type="character" w:customStyle="1" w:styleId="Heading5Char">
    <w:name w:val="Heading 5 Char"/>
    <w:basedOn w:val="DefaultParagraphFont"/>
    <w:link w:val="Heading5"/>
    <w:uiPriority w:val="99"/>
    <w:rsid w:val="00561C14"/>
    <w:rPr>
      <w:rFonts w:ascii="Tahoma" w:eastAsia="MS Mincho" w:hAnsi="Tahoma" w:cs="Tahoma"/>
      <w:sz w:val="19"/>
      <w:szCs w:val="19"/>
    </w:rPr>
  </w:style>
  <w:style w:type="character" w:customStyle="1" w:styleId="Heading6Char">
    <w:name w:val="Heading 6 Char"/>
    <w:basedOn w:val="DefaultParagraphFont"/>
    <w:link w:val="Heading6"/>
    <w:uiPriority w:val="99"/>
    <w:rsid w:val="00561C14"/>
    <w:rPr>
      <w:rFonts w:ascii="Tahoma" w:eastAsia="MS Mincho" w:hAnsi="Tahoma" w:cs="Tahoma"/>
      <w:sz w:val="19"/>
      <w:szCs w:val="19"/>
    </w:rPr>
  </w:style>
  <w:style w:type="character" w:customStyle="1" w:styleId="Heading7Char">
    <w:name w:val="Heading 7 Char"/>
    <w:basedOn w:val="DefaultParagraphFont"/>
    <w:link w:val="Heading7"/>
    <w:uiPriority w:val="99"/>
    <w:rsid w:val="00561C14"/>
    <w:rPr>
      <w:rFonts w:ascii="Tahoma" w:eastAsia="MS Mincho" w:hAnsi="Tahoma" w:cs="Tahoma"/>
      <w:sz w:val="19"/>
      <w:szCs w:val="19"/>
    </w:rPr>
  </w:style>
  <w:style w:type="character" w:customStyle="1" w:styleId="Heading8Char">
    <w:name w:val="Heading 8 Char"/>
    <w:basedOn w:val="DefaultParagraphFont"/>
    <w:link w:val="Heading8"/>
    <w:uiPriority w:val="99"/>
    <w:rsid w:val="00561C14"/>
    <w:rPr>
      <w:rFonts w:ascii="Tahoma" w:eastAsia="MS Mincho" w:hAnsi="Tahoma" w:cs="Tahoma"/>
      <w:sz w:val="19"/>
      <w:szCs w:val="19"/>
    </w:rPr>
  </w:style>
  <w:style w:type="character" w:customStyle="1" w:styleId="Heading9Char">
    <w:name w:val="Heading 9 Char"/>
    <w:basedOn w:val="DefaultParagraphFont"/>
    <w:link w:val="Heading9"/>
    <w:uiPriority w:val="99"/>
    <w:rsid w:val="00561C14"/>
    <w:rPr>
      <w:rFonts w:ascii="Tahoma" w:eastAsia="MS Mincho" w:hAnsi="Tahoma" w:cs="Tahoma"/>
      <w:sz w:val="19"/>
      <w:szCs w:val="19"/>
    </w:rPr>
  </w:style>
  <w:style w:type="paragraph" w:customStyle="1" w:styleId="Body1">
    <w:name w:val="Body 1"/>
    <w:basedOn w:val="Normal"/>
    <w:uiPriority w:val="99"/>
    <w:rsid w:val="00561C14"/>
    <w:pPr>
      <w:ind w:left="357"/>
    </w:pPr>
  </w:style>
  <w:style w:type="paragraph" w:customStyle="1" w:styleId="Bullet2">
    <w:name w:val="Bullet 2"/>
    <w:basedOn w:val="Normal"/>
    <w:uiPriority w:val="99"/>
    <w:rsid w:val="00561C14"/>
    <w:pPr>
      <w:numPr>
        <w:numId w:val="1"/>
      </w:numPr>
    </w:pPr>
  </w:style>
  <w:style w:type="paragraph" w:customStyle="1" w:styleId="Bullet3">
    <w:name w:val="Bullet 3"/>
    <w:basedOn w:val="Normal"/>
    <w:link w:val="Bullet3Char1"/>
    <w:uiPriority w:val="99"/>
    <w:rsid w:val="00561C14"/>
    <w:pPr>
      <w:numPr>
        <w:numId w:val="2"/>
      </w:numPr>
    </w:pPr>
  </w:style>
  <w:style w:type="paragraph" w:customStyle="1" w:styleId="Bullet4">
    <w:name w:val="Bullet 4"/>
    <w:basedOn w:val="Normal"/>
    <w:uiPriority w:val="99"/>
    <w:rsid w:val="00561C14"/>
    <w:pPr>
      <w:numPr>
        <w:numId w:val="3"/>
      </w:numPr>
    </w:pPr>
  </w:style>
  <w:style w:type="paragraph" w:customStyle="1" w:styleId="HeadingEULA">
    <w:name w:val="Heading EULA"/>
    <w:basedOn w:val="Normal"/>
    <w:next w:val="Normal"/>
    <w:uiPriority w:val="99"/>
    <w:rsid w:val="00561C14"/>
    <w:rPr>
      <w:b/>
      <w:bCs/>
      <w:sz w:val="28"/>
      <w:szCs w:val="28"/>
    </w:rPr>
  </w:style>
  <w:style w:type="paragraph" w:customStyle="1" w:styleId="HeadingSoftwareTitle">
    <w:name w:val="Heading Software Title"/>
    <w:basedOn w:val="Normal"/>
    <w:next w:val="Normal"/>
    <w:uiPriority w:val="99"/>
    <w:rsid w:val="00561C14"/>
    <w:pPr>
      <w:pBdr>
        <w:bottom w:val="single" w:sz="4" w:space="1" w:color="auto"/>
      </w:pBdr>
    </w:pPr>
    <w:rPr>
      <w:b/>
      <w:bCs/>
      <w:sz w:val="28"/>
      <w:szCs w:val="28"/>
    </w:rPr>
  </w:style>
  <w:style w:type="paragraph" w:customStyle="1" w:styleId="Preamble">
    <w:name w:val="Preamble"/>
    <w:basedOn w:val="Normal"/>
    <w:uiPriority w:val="99"/>
    <w:rsid w:val="00561C14"/>
    <w:rPr>
      <w:b/>
      <w:bCs/>
    </w:rPr>
  </w:style>
  <w:style w:type="paragraph" w:customStyle="1" w:styleId="Bullet4Underline">
    <w:name w:val="Bullet 4 Underline"/>
    <w:basedOn w:val="Bullet4"/>
    <w:uiPriority w:val="99"/>
    <w:rsid w:val="00561C14"/>
    <w:rPr>
      <w:u w:val="single"/>
    </w:rPr>
  </w:style>
  <w:style w:type="paragraph" w:customStyle="1" w:styleId="PreambleBorderAbove">
    <w:name w:val="Preamble Border Above"/>
    <w:basedOn w:val="Preamble"/>
    <w:uiPriority w:val="99"/>
    <w:rsid w:val="00561C14"/>
    <w:pPr>
      <w:pBdr>
        <w:top w:val="single" w:sz="4" w:space="1" w:color="auto"/>
      </w:pBdr>
    </w:pPr>
  </w:style>
  <w:style w:type="character" w:styleId="Hyperlink">
    <w:name w:val="Hyperlink"/>
    <w:aliases w:val="Char Char7"/>
    <w:basedOn w:val="DefaultParagraphFont"/>
    <w:uiPriority w:val="99"/>
    <w:rsid w:val="00561C14"/>
    <w:rPr>
      <w:rFonts w:cs="Times New Roman"/>
      <w:color w:val="0000FF"/>
      <w:u w:val="single"/>
    </w:rPr>
  </w:style>
  <w:style w:type="paragraph" w:customStyle="1" w:styleId="Body0Bold">
    <w:name w:val="Body 0 Bold"/>
    <w:next w:val="Normal"/>
    <w:uiPriority w:val="99"/>
    <w:rsid w:val="00561C14"/>
    <w:pPr>
      <w:spacing w:after="0" w:line="240" w:lineRule="auto"/>
    </w:pPr>
    <w:rPr>
      <w:rFonts w:ascii="Tahoma" w:eastAsia="MS Mincho" w:hAnsi="Tahoma" w:cs="Tahoma"/>
      <w:b/>
      <w:bCs/>
      <w:sz w:val="19"/>
      <w:szCs w:val="19"/>
    </w:rPr>
  </w:style>
  <w:style w:type="paragraph" w:customStyle="1" w:styleId="Body0">
    <w:name w:val="Body 0"/>
    <w:next w:val="Normal"/>
    <w:uiPriority w:val="99"/>
    <w:rsid w:val="00561C14"/>
    <w:pPr>
      <w:spacing w:after="0" w:line="240" w:lineRule="auto"/>
    </w:pPr>
    <w:rPr>
      <w:rFonts w:ascii="Tahoma" w:eastAsia="MS Mincho" w:hAnsi="Tahoma" w:cs="Tahoma"/>
      <w:sz w:val="19"/>
      <w:szCs w:val="19"/>
    </w:rPr>
  </w:style>
  <w:style w:type="character" w:customStyle="1" w:styleId="Bullet3Char1">
    <w:name w:val="Bullet 3 Char1"/>
    <w:basedOn w:val="DefaultParagraphFont"/>
    <w:link w:val="Bullet3"/>
    <w:uiPriority w:val="99"/>
    <w:locked/>
    <w:rsid w:val="00561C14"/>
    <w:rPr>
      <w:rFonts w:ascii="Tahoma" w:eastAsia="MS Mincho" w:hAnsi="Tahoma" w:cs="Tahoma"/>
      <w:sz w:val="19"/>
      <w:szCs w:val="19"/>
    </w:rPr>
  </w:style>
  <w:style w:type="character" w:styleId="CommentReference">
    <w:name w:val="annotation reference"/>
    <w:basedOn w:val="DefaultParagraphFont"/>
    <w:uiPriority w:val="99"/>
    <w:unhideWhenUsed/>
    <w:rsid w:val="00145590"/>
    <w:rPr>
      <w:sz w:val="16"/>
      <w:szCs w:val="16"/>
    </w:rPr>
  </w:style>
  <w:style w:type="paragraph" w:styleId="CommentText">
    <w:name w:val="annotation text"/>
    <w:basedOn w:val="Normal"/>
    <w:link w:val="CommentTextChar"/>
    <w:uiPriority w:val="99"/>
    <w:unhideWhenUsed/>
    <w:rsid w:val="00145590"/>
    <w:rPr>
      <w:sz w:val="20"/>
      <w:szCs w:val="20"/>
    </w:rPr>
  </w:style>
  <w:style w:type="character" w:customStyle="1" w:styleId="CommentTextChar">
    <w:name w:val="Comment Text Char"/>
    <w:basedOn w:val="DefaultParagraphFont"/>
    <w:link w:val="CommentText"/>
    <w:uiPriority w:val="99"/>
    <w:rsid w:val="00145590"/>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145590"/>
    <w:rPr>
      <w:b/>
      <w:bCs/>
    </w:rPr>
  </w:style>
  <w:style w:type="character" w:customStyle="1" w:styleId="CommentSubjectChar">
    <w:name w:val="Comment Subject Char"/>
    <w:basedOn w:val="CommentTextChar"/>
    <w:link w:val="CommentSubject"/>
    <w:uiPriority w:val="99"/>
    <w:semiHidden/>
    <w:rsid w:val="00145590"/>
    <w:rPr>
      <w:rFonts w:ascii="Tahoma" w:eastAsia="MS Mincho" w:hAnsi="Tahoma" w:cs="Tahoma"/>
      <w:b/>
      <w:bCs/>
      <w:sz w:val="20"/>
      <w:szCs w:val="20"/>
    </w:rPr>
  </w:style>
  <w:style w:type="paragraph" w:styleId="BalloonText">
    <w:name w:val="Balloon Text"/>
    <w:basedOn w:val="Normal"/>
    <w:link w:val="BalloonTextChar"/>
    <w:uiPriority w:val="99"/>
    <w:semiHidden/>
    <w:unhideWhenUsed/>
    <w:rsid w:val="00145590"/>
    <w:pPr>
      <w:spacing w:before="0" w:after="0"/>
    </w:pPr>
    <w:rPr>
      <w:sz w:val="16"/>
      <w:szCs w:val="16"/>
    </w:rPr>
  </w:style>
  <w:style w:type="character" w:customStyle="1" w:styleId="BalloonTextChar">
    <w:name w:val="Balloon Text Char"/>
    <w:basedOn w:val="DefaultParagraphFont"/>
    <w:link w:val="BalloonText"/>
    <w:uiPriority w:val="99"/>
    <w:semiHidden/>
    <w:rsid w:val="00145590"/>
    <w:rPr>
      <w:rFonts w:ascii="Tahoma" w:eastAsia="MS Mincho" w:hAnsi="Tahoma" w:cs="Tahoma"/>
      <w:sz w:val="16"/>
      <w:szCs w:val="16"/>
    </w:rPr>
  </w:style>
  <w:style w:type="paragraph" w:customStyle="1" w:styleId="Bullet1">
    <w:name w:val="Bullet 1"/>
    <w:basedOn w:val="Normal"/>
    <w:uiPriority w:val="99"/>
    <w:rsid w:val="006A74DC"/>
    <w:pPr>
      <w:numPr>
        <w:numId w:val="5"/>
      </w:numPr>
    </w:pPr>
  </w:style>
  <w:style w:type="paragraph" w:styleId="PlainText">
    <w:name w:val="Plain Text"/>
    <w:basedOn w:val="Normal"/>
    <w:link w:val="PlainTextChar"/>
    <w:uiPriority w:val="99"/>
    <w:rsid w:val="00AD48A4"/>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rsid w:val="00AD48A4"/>
    <w:rPr>
      <w:rFonts w:ascii="Calibri" w:eastAsia="MS Mincho" w:hAnsi="Calibri" w:cs="Times New Roman"/>
      <w:color w:val="1F497D"/>
    </w:rPr>
  </w:style>
  <w:style w:type="character" w:customStyle="1" w:styleId="Body2Char">
    <w:name w:val="Body 2 Char"/>
    <w:basedOn w:val="DefaultParagraphFont"/>
    <w:uiPriority w:val="99"/>
    <w:rsid w:val="00243B16"/>
    <w:rPr>
      <w:rFonts w:ascii="Tahoma" w:hAnsi="Tahoma" w:cs="Tahoma"/>
      <w:lang w:val="it-IT" w:eastAsia="it-IT"/>
    </w:rPr>
  </w:style>
  <w:style w:type="paragraph" w:styleId="ListParagraph">
    <w:name w:val="List Paragraph"/>
    <w:basedOn w:val="Normal"/>
    <w:uiPriority w:val="34"/>
    <w:qFormat/>
    <w:rsid w:val="00E858A3"/>
    <w:pPr>
      <w:spacing w:before="0" w:after="0"/>
      <w:ind w:left="720"/>
    </w:pPr>
    <w:rPr>
      <w:rFonts w:ascii="Calibri" w:eastAsiaTheme="minorHAnsi" w:hAnsi="Calibri" w:cs="Calibri"/>
      <w:sz w:val="22"/>
      <w:szCs w:val="22"/>
    </w:rPr>
  </w:style>
  <w:style w:type="paragraph" w:customStyle="1" w:styleId="Bullet5">
    <w:name w:val="Bullet 5"/>
    <w:basedOn w:val="Normal"/>
    <w:uiPriority w:val="99"/>
    <w:rsid w:val="00661CED"/>
    <w:pPr>
      <w:numPr>
        <w:numId w:val="16"/>
      </w:numPr>
    </w:pPr>
  </w:style>
  <w:style w:type="paragraph" w:customStyle="1" w:styleId="Heading1Warranty">
    <w:name w:val="Heading 1 Warranty"/>
    <w:basedOn w:val="Normal"/>
    <w:next w:val="Normal"/>
    <w:uiPriority w:val="99"/>
    <w:rsid w:val="00F91367"/>
    <w:pPr>
      <w:numPr>
        <w:numId w:val="23"/>
      </w:numPr>
      <w:outlineLvl w:val="0"/>
    </w:pPr>
  </w:style>
  <w:style w:type="paragraph" w:customStyle="1" w:styleId="Heading2Warranty">
    <w:name w:val="Heading 2 Warranty"/>
    <w:basedOn w:val="Normal"/>
    <w:next w:val="Normal"/>
    <w:uiPriority w:val="99"/>
    <w:rsid w:val="00F91367"/>
    <w:pPr>
      <w:numPr>
        <w:ilvl w:val="1"/>
        <w:numId w:val="23"/>
      </w:numPr>
      <w:outlineLvl w:val="1"/>
    </w:pPr>
  </w:style>
  <w:style w:type="character" w:styleId="FollowedHyperlink">
    <w:name w:val="FollowedHyperlink"/>
    <w:basedOn w:val="DefaultParagraphFont"/>
    <w:uiPriority w:val="99"/>
    <w:semiHidden/>
    <w:unhideWhenUsed/>
    <w:rsid w:val="00BE2E12"/>
    <w:rPr>
      <w:color w:val="800080" w:themeColor="followedHyperlink"/>
      <w:u w:val="single"/>
    </w:rPr>
  </w:style>
  <w:style w:type="paragraph" w:styleId="Revision">
    <w:name w:val="Revision"/>
    <w:hidden/>
    <w:uiPriority w:val="99"/>
    <w:semiHidden/>
    <w:rsid w:val="0029683E"/>
    <w:pPr>
      <w:spacing w:after="0" w:line="240" w:lineRule="auto"/>
    </w:pPr>
    <w:rPr>
      <w:rFonts w:ascii="Tahoma" w:eastAsia="MS Mincho"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8488">
      <w:bodyDiv w:val="1"/>
      <w:marLeft w:val="0"/>
      <w:marRight w:val="0"/>
      <w:marTop w:val="0"/>
      <w:marBottom w:val="0"/>
      <w:divBdr>
        <w:top w:val="none" w:sz="0" w:space="0" w:color="auto"/>
        <w:left w:val="none" w:sz="0" w:space="0" w:color="auto"/>
        <w:bottom w:val="none" w:sz="0" w:space="0" w:color="auto"/>
        <w:right w:val="none" w:sz="0" w:space="0" w:color="auto"/>
      </w:divBdr>
      <w:divsChild>
        <w:div w:id="1742092419">
          <w:marLeft w:val="0"/>
          <w:marRight w:val="0"/>
          <w:marTop w:val="0"/>
          <w:marBottom w:val="0"/>
          <w:divBdr>
            <w:top w:val="none" w:sz="0" w:space="0" w:color="auto"/>
            <w:left w:val="none" w:sz="0" w:space="0" w:color="auto"/>
            <w:bottom w:val="none" w:sz="0" w:space="0" w:color="auto"/>
            <w:right w:val="none" w:sz="0" w:space="0" w:color="auto"/>
          </w:divBdr>
        </w:div>
      </w:divsChild>
    </w:div>
    <w:div w:id="554200485">
      <w:bodyDiv w:val="1"/>
      <w:marLeft w:val="0"/>
      <w:marRight w:val="0"/>
      <w:marTop w:val="0"/>
      <w:marBottom w:val="0"/>
      <w:divBdr>
        <w:top w:val="none" w:sz="0" w:space="0" w:color="auto"/>
        <w:left w:val="none" w:sz="0" w:space="0" w:color="auto"/>
        <w:bottom w:val="none" w:sz="0" w:space="0" w:color="auto"/>
        <w:right w:val="none" w:sz="0" w:space="0" w:color="auto"/>
      </w:divBdr>
    </w:div>
    <w:div w:id="563374512">
      <w:bodyDiv w:val="1"/>
      <w:marLeft w:val="0"/>
      <w:marRight w:val="0"/>
      <w:marTop w:val="0"/>
      <w:marBottom w:val="0"/>
      <w:divBdr>
        <w:top w:val="none" w:sz="0" w:space="0" w:color="auto"/>
        <w:left w:val="none" w:sz="0" w:space="0" w:color="auto"/>
        <w:bottom w:val="none" w:sz="0" w:space="0" w:color="auto"/>
        <w:right w:val="none" w:sz="0" w:space="0" w:color="auto"/>
      </w:divBdr>
    </w:div>
    <w:div w:id="587077504">
      <w:bodyDiv w:val="1"/>
      <w:marLeft w:val="0"/>
      <w:marRight w:val="0"/>
      <w:marTop w:val="0"/>
      <w:marBottom w:val="0"/>
      <w:divBdr>
        <w:top w:val="none" w:sz="0" w:space="0" w:color="auto"/>
        <w:left w:val="none" w:sz="0" w:space="0" w:color="auto"/>
        <w:bottom w:val="none" w:sz="0" w:space="0" w:color="auto"/>
        <w:right w:val="none" w:sz="0" w:space="0" w:color="auto"/>
      </w:divBdr>
    </w:div>
    <w:div w:id="740300051">
      <w:bodyDiv w:val="1"/>
      <w:marLeft w:val="0"/>
      <w:marRight w:val="0"/>
      <w:marTop w:val="0"/>
      <w:marBottom w:val="0"/>
      <w:divBdr>
        <w:top w:val="none" w:sz="0" w:space="0" w:color="auto"/>
        <w:left w:val="none" w:sz="0" w:space="0" w:color="auto"/>
        <w:bottom w:val="none" w:sz="0" w:space="0" w:color="auto"/>
        <w:right w:val="none" w:sz="0" w:space="0" w:color="auto"/>
      </w:divBdr>
    </w:div>
    <w:div w:id="771514582">
      <w:bodyDiv w:val="1"/>
      <w:marLeft w:val="0"/>
      <w:marRight w:val="0"/>
      <w:marTop w:val="0"/>
      <w:marBottom w:val="0"/>
      <w:divBdr>
        <w:top w:val="none" w:sz="0" w:space="0" w:color="auto"/>
        <w:left w:val="none" w:sz="0" w:space="0" w:color="auto"/>
        <w:bottom w:val="none" w:sz="0" w:space="0" w:color="auto"/>
        <w:right w:val="none" w:sz="0" w:space="0" w:color="auto"/>
      </w:divBdr>
    </w:div>
    <w:div w:id="1106920303">
      <w:bodyDiv w:val="1"/>
      <w:marLeft w:val="0"/>
      <w:marRight w:val="0"/>
      <w:marTop w:val="0"/>
      <w:marBottom w:val="0"/>
      <w:divBdr>
        <w:top w:val="none" w:sz="0" w:space="0" w:color="auto"/>
        <w:left w:val="none" w:sz="0" w:space="0" w:color="auto"/>
        <w:bottom w:val="none" w:sz="0" w:space="0" w:color="auto"/>
        <w:right w:val="none" w:sz="0" w:space="0" w:color="auto"/>
      </w:divBdr>
    </w:div>
    <w:div w:id="1202978876">
      <w:bodyDiv w:val="1"/>
      <w:marLeft w:val="0"/>
      <w:marRight w:val="0"/>
      <w:marTop w:val="0"/>
      <w:marBottom w:val="0"/>
      <w:divBdr>
        <w:top w:val="none" w:sz="0" w:space="0" w:color="auto"/>
        <w:left w:val="none" w:sz="0" w:space="0" w:color="auto"/>
        <w:bottom w:val="none" w:sz="0" w:space="0" w:color="auto"/>
        <w:right w:val="none" w:sz="0" w:space="0" w:color="auto"/>
      </w:divBdr>
    </w:div>
    <w:div w:id="1302685315">
      <w:bodyDiv w:val="1"/>
      <w:marLeft w:val="0"/>
      <w:marRight w:val="0"/>
      <w:marTop w:val="0"/>
      <w:marBottom w:val="0"/>
      <w:divBdr>
        <w:top w:val="none" w:sz="0" w:space="0" w:color="auto"/>
        <w:left w:val="none" w:sz="0" w:space="0" w:color="auto"/>
        <w:bottom w:val="none" w:sz="0" w:space="0" w:color="auto"/>
        <w:right w:val="none" w:sz="0" w:space="0" w:color="auto"/>
      </w:divBdr>
    </w:div>
    <w:div w:id="1309287217">
      <w:bodyDiv w:val="1"/>
      <w:marLeft w:val="0"/>
      <w:marRight w:val="0"/>
      <w:marTop w:val="0"/>
      <w:marBottom w:val="0"/>
      <w:divBdr>
        <w:top w:val="none" w:sz="0" w:space="0" w:color="auto"/>
        <w:left w:val="none" w:sz="0" w:space="0" w:color="auto"/>
        <w:bottom w:val="none" w:sz="0" w:space="0" w:color="auto"/>
        <w:right w:val="none" w:sz="0" w:space="0" w:color="auto"/>
      </w:divBdr>
    </w:div>
    <w:div w:id="1421946591">
      <w:bodyDiv w:val="1"/>
      <w:marLeft w:val="0"/>
      <w:marRight w:val="0"/>
      <w:marTop w:val="0"/>
      <w:marBottom w:val="0"/>
      <w:divBdr>
        <w:top w:val="none" w:sz="0" w:space="0" w:color="auto"/>
        <w:left w:val="none" w:sz="0" w:space="0" w:color="auto"/>
        <w:bottom w:val="none" w:sz="0" w:space="0" w:color="auto"/>
        <w:right w:val="none" w:sz="0" w:space="0" w:color="auto"/>
      </w:divBdr>
    </w:div>
    <w:div w:id="1485973373">
      <w:bodyDiv w:val="1"/>
      <w:marLeft w:val="0"/>
      <w:marRight w:val="0"/>
      <w:marTop w:val="0"/>
      <w:marBottom w:val="0"/>
      <w:divBdr>
        <w:top w:val="none" w:sz="0" w:space="0" w:color="auto"/>
        <w:left w:val="none" w:sz="0" w:space="0" w:color="auto"/>
        <w:bottom w:val="none" w:sz="0" w:space="0" w:color="auto"/>
        <w:right w:val="none" w:sz="0" w:space="0" w:color="auto"/>
      </w:divBdr>
    </w:div>
    <w:div w:id="1753968709">
      <w:bodyDiv w:val="1"/>
      <w:marLeft w:val="0"/>
      <w:marRight w:val="0"/>
      <w:marTop w:val="0"/>
      <w:marBottom w:val="0"/>
      <w:divBdr>
        <w:top w:val="none" w:sz="0" w:space="0" w:color="auto"/>
        <w:left w:val="none" w:sz="0" w:space="0" w:color="auto"/>
        <w:bottom w:val="none" w:sz="0" w:space="0" w:color="auto"/>
        <w:right w:val="none" w:sz="0" w:space="0" w:color="auto"/>
      </w:divBdr>
    </w:div>
    <w:div w:id="1784613347">
      <w:bodyDiv w:val="1"/>
      <w:marLeft w:val="0"/>
      <w:marRight w:val="0"/>
      <w:marTop w:val="0"/>
      <w:marBottom w:val="0"/>
      <w:divBdr>
        <w:top w:val="none" w:sz="0" w:space="0" w:color="auto"/>
        <w:left w:val="none" w:sz="0" w:space="0" w:color="auto"/>
        <w:bottom w:val="none" w:sz="0" w:space="0" w:color="auto"/>
        <w:right w:val="none" w:sz="0" w:space="0" w:color="auto"/>
      </w:divBdr>
    </w:div>
    <w:div w:id="1846703512">
      <w:bodyDiv w:val="1"/>
      <w:marLeft w:val="0"/>
      <w:marRight w:val="0"/>
      <w:marTop w:val="0"/>
      <w:marBottom w:val="0"/>
      <w:divBdr>
        <w:top w:val="none" w:sz="0" w:space="0" w:color="auto"/>
        <w:left w:val="none" w:sz="0" w:space="0" w:color="auto"/>
        <w:bottom w:val="none" w:sz="0" w:space="0" w:color="auto"/>
        <w:right w:val="none" w:sz="0" w:space="0" w:color="auto"/>
      </w:divBdr>
    </w:div>
    <w:div w:id="1987708651">
      <w:bodyDiv w:val="1"/>
      <w:marLeft w:val="0"/>
      <w:marRight w:val="0"/>
      <w:marTop w:val="0"/>
      <w:marBottom w:val="0"/>
      <w:divBdr>
        <w:top w:val="none" w:sz="0" w:space="0" w:color="auto"/>
        <w:left w:val="none" w:sz="0" w:space="0" w:color="auto"/>
        <w:bottom w:val="none" w:sz="0" w:space="0" w:color="auto"/>
        <w:right w:val="none" w:sz="0" w:space="0" w:color="auto"/>
      </w:divBdr>
    </w:div>
    <w:div w:id="1998145804">
      <w:bodyDiv w:val="1"/>
      <w:marLeft w:val="0"/>
      <w:marRight w:val="0"/>
      <w:marTop w:val="0"/>
      <w:marBottom w:val="0"/>
      <w:divBdr>
        <w:top w:val="none" w:sz="0" w:space="0" w:color="auto"/>
        <w:left w:val="none" w:sz="0" w:space="0" w:color="auto"/>
        <w:bottom w:val="none" w:sz="0" w:space="0" w:color="auto"/>
        <w:right w:val="none" w:sz="0" w:space="0" w:color="auto"/>
      </w:divBdr>
    </w:div>
    <w:div w:id="20911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microsoft.com/fwlink/?LinkID=8247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icrosoft.com/fwlink/?linkid=823097" TargetMode="External"/><Relationship Id="rId5" Type="http://schemas.openxmlformats.org/officeDocument/2006/relationships/numbering" Target="numbering.xml"/><Relationship Id="rId15" Type="http://schemas.openxmlformats.org/officeDocument/2006/relationships/hyperlink" Target="http://www.microsoft.com/export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linkid=984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ip_UnifiedCompliancePolicyUIAction xmlns="http://schemas.microsoft.com/sharepoint/v3" xsi:nil="true"/>
    <_ip_UnifiedCompliancePolicyProperties xmlns="http://schemas.microsoft.com/sharepoint/v3" xsi:nil="true"/>
    <LastSharedByUser xmlns="d73a72ad-5568-4a1f-86bd-5f6f8abe423d">kathan@microsoft.com</LastSharedByUser>
    <SharedWithUsers xmlns="d73a72ad-5568-4a1f-86bd-5f6f8abe423d">
      <UserInfo>
        <DisplayName>Tricia Geyer (Ragen Swan PLLC)</DisplayName>
        <AccountId>308</AccountId>
        <AccountType/>
      </UserInfo>
    </SharedWithUsers>
    <LastSharedByTime xmlns="d73a72ad-5568-4a1f-86bd-5f6f8abe423d">2016-11-03T05:10:40+00:00</LastSharedBy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13291AA28604496936993F6547311" ma:contentTypeVersion="8" ma:contentTypeDescription="Create a new document." ma:contentTypeScope="" ma:versionID="f938cb08e036940e1d5dd6a107e6656b">
  <xsd:schema xmlns:xsd="http://www.w3.org/2001/XMLSchema" xmlns:xs="http://www.w3.org/2001/XMLSchema" xmlns:p="http://schemas.microsoft.com/office/2006/metadata/properties" xmlns:ns1="http://schemas.microsoft.com/sharepoint/v3" xmlns:ns2="d73a72ad-5568-4a1f-86bd-5f6f8abe423d" targetNamespace="http://schemas.microsoft.com/office/2006/metadata/properties" ma:root="true" ma:fieldsID="07fda0ed93a253a6ccb797db61166adb" ns1:_="" ns2:_="">
    <xsd:import namespace="http://schemas.microsoft.com/sharepoint/v3"/>
    <xsd:import namespace="d73a72ad-5568-4a1f-86bd-5f6f8abe423d"/>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a72ad-5568-4a1f-86bd-5f6f8abe4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6C5C1-61B3-414B-BDD9-1F13179AE7C4}">
  <ds:schemaRefs>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purl.org/dc/terms/"/>
    <ds:schemaRef ds:uri="http://schemas.openxmlformats.org/package/2006/metadata/core-properties"/>
    <ds:schemaRef ds:uri="d73a72ad-5568-4a1f-86bd-5f6f8abe423d"/>
    <ds:schemaRef ds:uri="http://purl.org/dc/dcmitype/"/>
  </ds:schemaRefs>
</ds:datastoreItem>
</file>

<file path=customXml/itemProps2.xml><?xml version="1.0" encoding="utf-8"?>
<ds:datastoreItem xmlns:ds="http://schemas.openxmlformats.org/officeDocument/2006/customXml" ds:itemID="{D2175B79-F35D-4F90-82BF-4C65DC12E888}">
  <ds:schemaRefs>
    <ds:schemaRef ds:uri="http://schemas.microsoft.com/sharepoint/v3/contenttype/forms"/>
  </ds:schemaRefs>
</ds:datastoreItem>
</file>

<file path=customXml/itemProps3.xml><?xml version="1.0" encoding="utf-8"?>
<ds:datastoreItem xmlns:ds="http://schemas.openxmlformats.org/officeDocument/2006/customXml" ds:itemID="{D6E94151-673D-4D7C-9A6D-9C880936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3a72ad-5568-4a1f-86bd-5f6f8abe4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74B26-BFA7-4E23-A9C0-B84064BB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2253</Words>
  <Characters>13863</Characters>
  <Application>Microsoft Office Word</Application>
  <DocSecurity>0</DocSecurity>
  <Lines>182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kathan</dc:creator>
  <cp:keywords/>
  <dc:description/>
  <cp:lastModifiedBy>Gurav, Samir</cp:lastModifiedBy>
  <cp:revision>5</cp:revision>
  <dcterms:created xsi:type="dcterms:W3CDTF">2018-05-17T16:22:00Z</dcterms:created>
  <dcterms:modified xsi:type="dcterms:W3CDTF">2018-05-30T18:48:00Z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0x010100F2E13291AA28604496936993F6547311</vt:lpwstr>
  </property>
  <property fmtid="{D5CDD505-2E9C-101B-9397-08002B2CF9AE}" pid="3" name="DocVizMetadataToken">
    <vt:lpwstr>270x350x2</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v-amferg@microsoft.com</vt:lpwstr>
  </property>
  <property fmtid="{D5CDD505-2E9C-101B-9397-08002B2CF9AE}" pid="7" name="MSIP_Label_f42aa342-8706-4288-bd11-ebb85995028c_SetDate">
    <vt:lpwstr>2018-05-17T16:21:45.9026630Z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