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TERMOS DE LICENÇA DE SOFTWARE PRÉ-LANÇAMENTO DA MICROSOFT</w:t>
      </w:r>
    </w:p>
    <w:p w14:paraId="320D2EE7" w14:textId="009CB226" w:rsidR="00073C7B" w:rsidRPr="00C66EC7" w:rsidRDefault="00561C14" w:rsidP="002342D6">
      <w:pPr>
        <w:pStyle w:val="HeadingEULA"/>
        <w:spacing w:before="0" w:after="160"/>
        <w:ind w:left="0"/>
      </w:pPr>
      <w:r>
        <w:t>SOFTWARE DE PRÉ-LANÇAMENTO DA FAMÍLIA MICROSOFT VISUAL STUDIO 2017</w:t>
      </w:r>
    </w:p>
    <w:p w14:paraId="3ECD3434" w14:textId="275EF870" w:rsidR="00561C14" w:rsidRPr="005114EC" w:rsidRDefault="00561C14" w:rsidP="002342D6">
      <w:pPr>
        <w:pStyle w:val="Preamble"/>
        <w:spacing w:before="0" w:after="160"/>
        <w:ind w:left="0"/>
        <w:rPr>
          <w:b w:val="0"/>
        </w:rPr>
      </w:pPr>
      <w:r>
        <w:rPr>
          <w:b w:val="0"/>
        </w:rPr>
        <w:t>Os presentes termos de licença constituem um acordo entre você e a Microsoft Corporation (ou, dependendo do local no qual você esteja domiciliado, uma de suas afiliadas). Eles se aplicam ao software de pré-lançamento nomeado acima. Os termos também se aplicam a quaisquer serviços ou atualizações da Microsoft para o software, exceto até a extensão de que eles tenham termos adicionais.</w:t>
      </w:r>
    </w:p>
    <w:p w14:paraId="61587206" w14:textId="77777777" w:rsidR="00561C14" w:rsidRPr="00C66EC7" w:rsidRDefault="008640F1" w:rsidP="002342D6">
      <w:pPr>
        <w:pStyle w:val="PreambleBorderAbove"/>
        <w:spacing w:before="0" w:after="160"/>
        <w:ind w:left="0"/>
      </w:pPr>
      <w:r>
        <w:t>SE VOCÊ CONCORDAR COM ESTES TERMOS DE LICENÇA, TERÁ OS DIREITOS INDICADOS ABAIXO.</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DIREITOS DE INSTALAÇÃO E USO. </w:t>
      </w:r>
    </w:p>
    <w:p w14:paraId="4677A1D4" w14:textId="3657C467" w:rsidR="00561C14" w:rsidRPr="00C66EC7" w:rsidRDefault="00561C14" w:rsidP="004446EF">
      <w:pPr>
        <w:pStyle w:val="CommentText"/>
        <w:numPr>
          <w:ilvl w:val="0"/>
          <w:numId w:val="38"/>
        </w:numPr>
      </w:pPr>
      <w:bookmarkStart w:id="0" w:name="_Hlk485818776"/>
      <w:r>
        <w:t>Você poderá instalar e usar um número indeterminado de cópias do software em seus dispositivos somente para fins de avaliação. Se você usar o software no Microsoft Azure, poderão se aplicar encargos e termos adicionais.</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Você não poderá distribuir nenhum aplicativo que desenvolver com o software, exceto se puder implantar seus aplicativos internamente apenas para avaliar quaisquer tecnologia de implantação que possa estar contida no software.</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Você não poderá testar o software em um ambiente operacional ativo, a menos que a Microsoft o permita em outro contrato.</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TERMOS PARA COMPONENTES ESPECÍFICOS.</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Separação de Componentes; Cargas de trabalho.</w:t>
      </w:r>
      <w:r>
        <w:rPr>
          <w:rFonts w:ascii="Tahoma" w:hAnsi="Tahoma"/>
          <w:sz w:val="19"/>
        </w:rPr>
        <w:t xml:space="preserve"> Exceto se for declarado de outra forma neste contrato, (i) os componentes do software são licenciados como uma única unidade e (ii) você não poderá separar os componentes e instalá-los em outros dispositivos. Este contrato se aplica ao uso que você fizer das Cargas de trabalho disponibilizadas no software, salvo se uma Carga de trabalho ou um componente de Carga de trabalho for fornecido com outros termos.</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Utilitários.</w:t>
      </w:r>
      <w:r>
        <w:rPr>
          <w:rFonts w:ascii="Tahoma" w:hAnsi="Tahoma"/>
          <w:sz w:val="19"/>
        </w:rPr>
        <w:t xml:space="preserve"> O software pode conter alguns itens na Lista de Utilitários localizada no site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Você pode copiar e instalar esses Utilitários, se estiverem incluídos com o software, em seus dispositivos para depurar e implantar internamente os aplicativos que você desenvolve com o software. Observe que os Utilitários foram projetados para uso temporário, que a Microsoft pode não corrigir nem atualizar os Utilitários separadamente do restante do software e que alguns Utilitários, por sua natureza, podem tornar possível que outras pessoas acessem dispositivos nos quais eles estão instalados. Consequentemente, você deveria excluir todos os Utilitários instalados depois que você finalizar a depuração e implantação interna de seus aplicativos. A Microsoft não é responsável pelo uso nem acesso por terceiros dos Utilitários que você instala em qualquer dispositivo.</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Ferramentas de Compilação.</w:t>
      </w:r>
      <w:r>
        <w:rPr>
          <w:rFonts w:ascii="Tahoma" w:hAnsi="Tahoma"/>
          <w:sz w:val="19"/>
        </w:rPr>
        <w:t xml:space="preserve"> 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 Para fins de esclarecimento, “aplicativos” significa os aplicativos desenvolvidos por você e por outras pessoas em sua organização que são cada um licenciados para usar o software.</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Fontes.</w:t>
      </w:r>
      <w:r>
        <w:rPr>
          <w:rFonts w:ascii="Tahoma" w:hAnsi="Tahoma"/>
          <w:sz w:val="19"/>
        </w:rPr>
        <w:t xml:space="preserve"> Enquanto o software estiver em execução, você poderá usar as respectivas fontes para exibir e imprimir conteúdo. Você poderá apenas: (i) incorporar fontes no conteúdo conforme permitido pelas </w:t>
      </w:r>
      <w:r>
        <w:rPr>
          <w:rFonts w:ascii="Tahoma" w:hAnsi="Tahoma"/>
          <w:sz w:val="19"/>
        </w:rPr>
        <w:lastRenderedPageBreak/>
        <w:t>restrições incorporadas nas fontes e (ii) pode baixá-las temporariamente em uma impressora ou outro dispositivo de saída para imprimir conteúdo.</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Licenças para Outros Componentes.</w:t>
      </w:r>
    </w:p>
    <w:p w14:paraId="65ACFBCE" w14:textId="589A86BB" w:rsidR="0089566E" w:rsidRPr="00C66EC7" w:rsidRDefault="0089566E" w:rsidP="002342D6">
      <w:pPr>
        <w:pStyle w:val="Bullet3"/>
        <w:numPr>
          <w:ilvl w:val="0"/>
          <w:numId w:val="33"/>
        </w:numPr>
        <w:spacing w:before="0" w:after="160"/>
        <w:ind w:left="1080"/>
      </w:pPr>
      <w:r>
        <w:rPr>
          <w:b/>
        </w:rPr>
        <w:t xml:space="preserve">Plataformas da Microsoft. </w:t>
      </w:r>
      <w:r>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associado, estes termos de licença prevalecerão.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Recursos para Desenvolvedores. </w:t>
      </w:r>
      <w:r>
        <w:rPr>
          <w:rFonts w:ascii="Tahoma" w:hAnsi="Tahoma"/>
          <w:sz w:val="19"/>
        </w:rPr>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Componentes de terceiros. </w:t>
      </w:r>
      <w:r>
        <w:rPr>
          <w:rFonts w:ascii="Tahoma" w:hAnsi="Tahoma"/>
          <w:sz w:val="19"/>
        </w:rPr>
        <w:t xml:space="preserve">O software pode incluir componentes de terceiros com notificações legais separadas ou regidas por outros contratos, conforme descrito nos arquivos ThirdPartyNotices que acompanham o software.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Gerenciadores de Pacotes.</w:t>
      </w:r>
      <w:r>
        <w:rPr>
          <w:rFonts w:ascii="Tahoma" w:hAnsi="Tahoma"/>
          <w:sz w:val="19"/>
        </w:rPr>
        <w:t xml:space="preserve"> O software inclui gerenciadores de pacote, como NuGet, que oferecem a opção de baixar outros pacotes de software da Microsoft e pacotes de software de terceiros a serem usados com seus aplicativos. Esses pacotes estão sujeitos às suas próprias licenças, e não a este contrato. A Microsoft não distribui, licencia nem fornece quaisquer garantias de qualquer um dos pacotes de terceiros.</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DADOS. </w:t>
      </w:r>
    </w:p>
    <w:p w14:paraId="565E4C87" w14:textId="5DE64FD3" w:rsidR="003B5050" w:rsidRDefault="00A548FD" w:rsidP="00A548FD">
      <w:pPr>
        <w:pStyle w:val="Heading1"/>
        <w:numPr>
          <w:ilvl w:val="0"/>
          <w:numId w:val="0"/>
        </w:numPr>
        <w:spacing w:before="0" w:after="160"/>
        <w:ind w:left="720" w:hanging="360"/>
        <w:rPr>
          <w:b w:val="0"/>
        </w:rPr>
      </w:pPr>
      <w:r>
        <w:t>a.</w:t>
      </w:r>
      <w:r>
        <w:tab/>
        <w:t>Coleta de Dados.</w:t>
      </w:r>
      <w:r>
        <w:rPr>
          <w:b w:val="0"/>
        </w:rPr>
        <w:t xml:space="preserve"> 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alguns recursos no software que podem permitir que você e a Microsoft coletem dados dos usuários de seus aplicativos. Se você usar esses recursos, deverá cumprir a lei aplicável, inclusive fornecendo notificações apropriadas aos usuários de seus aplicativos juntamente com uma cópia da política de privacidade da Microsoft. Nossa política de privacidade está localizada em</w:t>
      </w:r>
      <w:r>
        <w:t xml:space="preserve"> </w:t>
      </w:r>
      <w:hyperlink r:id="rId13">
        <w:r>
          <w:rPr>
            <w:rStyle w:val="Hyperlink"/>
            <w:b w:val="0"/>
          </w:rPr>
          <w:t>https://go.microsoft.com/fwlink/?LinkID=824704</w:t>
        </w:r>
      </w:hyperlink>
      <w:r>
        <w:rPr>
          <w:b w:val="0"/>
        </w:rPr>
        <w:t>. Você pode saber mais sobre a coleta de dados e o uso na documentação de ajuda e na nossa política de privacidade. Usar o software significa que você autoriza essas práticas.</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Processamento de Dados Pessoais. </w:t>
      </w:r>
      <w:r>
        <w:rPr>
          <w:b w:val="0"/>
          <w:sz w:val="20"/>
        </w:rPr>
        <w:t xml:space="preserve">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SOFTWARE COM DETECÇÃO DE HORA. </w:t>
      </w:r>
      <w:r>
        <w:rPr>
          <w:b w:val="0"/>
        </w:rPr>
        <w:t>O software tem limite de tempo e parará de funcionar na data definida no software, e seu direito de licença de usar o software também terminará. Talvez não seja possível acessar as cópias do seu código ou outros dados armazenados no software quando sua execução for interrompida.</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SOFTWARE DE PRÉ-LANÇAMENTO. </w:t>
      </w:r>
      <w:r>
        <w:rPr>
          <w:b w:val="0"/>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FEEDBACK. </w:t>
      </w:r>
      <w:r>
        <w:rPr>
          <w:b w:val="0"/>
        </w:rPr>
        <w:t xml:space="preserve">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w:t>
      </w:r>
      <w:r>
        <w:rPr>
          <w:b w:val="0"/>
        </w:rPr>
        <w:lastRenderedPageBreak/>
        <w:t>licenciamento do software ou da documentação a terceiros em virtude da inclusão do seu feedback nesses elementos. Esses direitos permanecerão em vigor após o término deste contrato.</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ESCOPO DA LICENÇA. </w:t>
      </w:r>
      <w:r>
        <w:rPr>
          <w:b w:val="0"/>
        </w:rPr>
        <w:t>O software é licenciado, e não vendido. Este contrato concede a você apenas alguns direitos de uso do software. A Microsoft reserva para si todos os outros direitos.</w:t>
      </w:r>
      <w:r>
        <w:t xml:space="preserve"> </w:t>
      </w:r>
      <w:r>
        <w:rPr>
          <w:b w:val="0"/>
        </w:rPr>
        <w:t>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Não é permitido:</w:t>
      </w:r>
    </w:p>
    <w:p w14:paraId="49F5508A" w14:textId="77777777" w:rsidR="00D015E8" w:rsidRPr="00C66EC7" w:rsidRDefault="00D015E8" w:rsidP="002342D6">
      <w:pPr>
        <w:pStyle w:val="Bullet4"/>
        <w:tabs>
          <w:tab w:val="clear" w:pos="1437"/>
          <w:tab w:val="num" w:pos="720"/>
        </w:tabs>
        <w:spacing w:before="0" w:after="160"/>
        <w:ind w:left="720" w:hanging="360"/>
      </w:pPr>
      <w:r>
        <w:t>contornar quaisquer limitações técnicas do software;</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4E131D42" w14:textId="77777777" w:rsidR="00D015E8" w:rsidRPr="00C66EC7" w:rsidRDefault="00D015E8" w:rsidP="002342D6">
      <w:pPr>
        <w:pStyle w:val="Bullet4"/>
        <w:tabs>
          <w:tab w:val="clear" w:pos="1437"/>
          <w:tab w:val="num" w:pos="720"/>
        </w:tabs>
        <w:spacing w:before="0" w:after="160"/>
        <w:ind w:left="720" w:hanging="360"/>
      </w:pPr>
      <w:r>
        <w:t>remover, minimizar, bloquear ou modificar notificações da Microsoft ou de seus fornecedores no software;</w:t>
      </w:r>
    </w:p>
    <w:p w14:paraId="4E564A7D" w14:textId="77777777" w:rsidR="00D015E8" w:rsidRPr="00C66EC7" w:rsidRDefault="00D015E8" w:rsidP="002342D6">
      <w:pPr>
        <w:pStyle w:val="Bullet4"/>
        <w:tabs>
          <w:tab w:val="clear" w:pos="1437"/>
          <w:tab w:val="num" w:pos="720"/>
        </w:tabs>
        <w:spacing w:before="0" w:after="160"/>
        <w:ind w:left="720" w:hanging="360"/>
      </w:pPr>
      <w:r>
        <w:t>usar o software de qualquer maneira que seja ilegal ou</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compartilhar, publicar, alugar ou arrendar o software ou fornecê-lo como uma oferta independente para outras pessoas usarem ou transferir o software ou este contrato a um terceiro.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RESTRIÇÕES DE EXPORTAÇÃO. </w:t>
      </w:r>
      <w:r>
        <w:rPr>
          <w:b w:val="0"/>
        </w:rPr>
        <w:t xml:space="preserve">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SUPORTE. </w:t>
      </w:r>
      <w:r>
        <w:rPr>
          <w:b w:val="0"/>
        </w:rPr>
        <w:t>Como o software é fornecido “no estado em que se encontra”, a Microsoft poderá não prestar serviços de suporte para ele.</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CONTRATO INTEGRAL. </w:t>
      </w:r>
      <w:r>
        <w:rPr>
          <w:b w:val="0"/>
        </w:rPr>
        <w:t>Este contrato e os termos dos suplementos, das atualizações, dos serviços de Internet e dos serviços de suporte por você usados constituem o acordo integral para o software e os serviços de suporte.</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LEI APLICÁVEL.  </w:t>
      </w:r>
      <w:r>
        <w:rPr>
          <w:b w:val="0"/>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DIREITOS DO CONSUMIDOR; VARIAÇÕES REGIONAIS. </w:t>
      </w:r>
      <w:r>
        <w:rPr>
          <w:b w:val="0"/>
        </w:rPr>
        <w:t>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presente contrato não altera esses outros direitos se as leis do seu estado ou país não o permitirem. Por exemplo, se você tiver adquirido o software em uma das regiões a seguir, ou leis obrigatórias do país forem aplicáveis, as seguintes disposições se aplicarão a você:</w:t>
      </w:r>
    </w:p>
    <w:p w14:paraId="572AC2DC" w14:textId="77777777" w:rsidR="00141F26" w:rsidRPr="003E1F6C" w:rsidRDefault="00141F26" w:rsidP="002342D6">
      <w:pPr>
        <w:pStyle w:val="Heading2"/>
        <w:numPr>
          <w:ilvl w:val="0"/>
          <w:numId w:val="32"/>
        </w:numPr>
        <w:spacing w:before="0" w:after="160"/>
        <w:rPr>
          <w:b w:val="0"/>
        </w:rPr>
      </w:pPr>
      <w:r>
        <w:t xml:space="preserve">Austrália. </w:t>
      </w:r>
      <w:r>
        <w:rPr>
          <w:b w:val="0"/>
        </w:rPr>
        <w:t>você possui garantias estatutárias resguardadas pela Lei de Consumo Australiana e nada neste contrato destina-se a afetar esses direitos.</w:t>
      </w:r>
    </w:p>
    <w:p w14:paraId="1E82531B" w14:textId="77777777" w:rsidR="00141F26" w:rsidRPr="003E1F6C" w:rsidRDefault="00141F26" w:rsidP="002342D6">
      <w:pPr>
        <w:pStyle w:val="Heading2"/>
        <w:numPr>
          <w:ilvl w:val="0"/>
          <w:numId w:val="32"/>
        </w:numPr>
        <w:spacing w:before="0" w:after="160"/>
        <w:rPr>
          <w:b w:val="0"/>
        </w:rPr>
      </w:pPr>
      <w:r>
        <w:t xml:space="preserve">No Canadá. </w:t>
      </w:r>
      <w:r>
        <w:rPr>
          <w:b w:val="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14:paraId="08BAFCD7" w14:textId="77777777" w:rsidR="00141F26" w:rsidRPr="00C66EC7" w:rsidRDefault="00141F26" w:rsidP="002342D6">
      <w:pPr>
        <w:pStyle w:val="Heading2"/>
        <w:numPr>
          <w:ilvl w:val="0"/>
          <w:numId w:val="32"/>
        </w:numPr>
        <w:spacing w:before="0" w:after="160"/>
      </w:pPr>
      <w:r>
        <w:t>Alemanha e Áustria.</w:t>
      </w:r>
    </w:p>
    <w:p w14:paraId="08828945" w14:textId="77777777" w:rsidR="00141F26" w:rsidRPr="00C66EC7" w:rsidRDefault="00141F26" w:rsidP="002342D6">
      <w:pPr>
        <w:spacing w:before="0" w:after="160"/>
        <w:ind w:left="1080" w:hanging="363"/>
      </w:pPr>
      <w:r>
        <w:rPr>
          <w:b/>
        </w:rPr>
        <w:lastRenderedPageBreak/>
        <w:t>(i)</w:t>
      </w:r>
      <w:r>
        <w:tab/>
      </w:r>
      <w:r>
        <w:rPr>
          <w:b/>
        </w:rPr>
        <w:t>Garantia</w:t>
      </w:r>
      <w:r>
        <w:t>. O software devidamente licenciado desempenhará as funções de forma substancial conforme descrito nos materiais da Microsoft que acompanham o software. No entanto, a Microsoft não dá nenhuma garantia contratual relativa ao software licenciado.</w:t>
      </w:r>
    </w:p>
    <w:p w14:paraId="12D8C248" w14:textId="77777777" w:rsidR="00141F26" w:rsidRPr="00C66EC7" w:rsidRDefault="00141F26" w:rsidP="002342D6">
      <w:pPr>
        <w:spacing w:before="0" w:after="160"/>
        <w:ind w:left="1080" w:hanging="363"/>
      </w:pPr>
      <w:r>
        <w:rPr>
          <w:b/>
        </w:rPr>
        <w:t>(ii)</w:t>
      </w:r>
      <w:r>
        <w:tab/>
      </w:r>
      <w:r>
        <w:rPr>
          <w:b/>
        </w:rPr>
        <w:t>Limitação de responsabilidade.</w:t>
      </w:r>
      <w:r>
        <w:t xml:space="preserve"> No caso de conduta intencional, negligência grave, requerimentos judiciais ou extrajudiciais com base na Product Liability Act - Lei de Responsabilidade Civil sobre Produtos, bem como em caso de morte ou danos pessoais ou físicos, a Microsoft será responsável de acordo com a legislação.</w:t>
      </w:r>
    </w:p>
    <w:p w14:paraId="20A21010" w14:textId="2E92A70D" w:rsidR="00141F26" w:rsidRPr="005114EC" w:rsidRDefault="00141F26" w:rsidP="002342D6">
      <w:pPr>
        <w:pStyle w:val="Heading1"/>
        <w:numPr>
          <w:ilvl w:val="0"/>
          <w:numId w:val="0"/>
        </w:numPr>
        <w:spacing w:before="0" w:after="160"/>
        <w:ind w:left="717"/>
        <w:rPr>
          <w:b w:val="0"/>
        </w:rPr>
      </w:pPr>
      <w:r>
        <w:rPr>
          <w:b w:val="0"/>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14:paraId="625B6D6C" w14:textId="77777777" w:rsidR="00561C14" w:rsidRPr="00C66EC7" w:rsidRDefault="00561C14" w:rsidP="002342D6">
      <w:pPr>
        <w:pStyle w:val="Heading1"/>
        <w:tabs>
          <w:tab w:val="clear" w:pos="450"/>
          <w:tab w:val="num" w:pos="360"/>
        </w:tabs>
        <w:spacing w:before="0" w:after="160"/>
        <w:ind w:left="360" w:hanging="360"/>
      </w:pPr>
      <w:r>
        <w:t>ISENÇÃO DE GARANTIA. O SOFTWARE É LICENCIADO "NO ESTADO EM QUE SE ENCONTRA". VOCÊ ASSUME O RISCO DE USÁ-LO. A MICROSOFT NÃO OFERECE GARANTIAS NEM CONDIÇÕES EXPRESSAS. ATÉ O LIMITE PERMITIDO PELAS LEIS LOCAIS, A MICROSOFT EXCLUI TODAS E QUAISQUER GARANTIAS LEGAIS DE PADRÕES DE COMERCIALIZAÇÃO, ADEQUAÇÃO A UMA FINALIDADE ESPECÍFICA E NÃO VIOLAÇÃO.</w:t>
      </w:r>
    </w:p>
    <w:p w14:paraId="6881C3DD" w14:textId="45B83040" w:rsidR="00561C14" w:rsidRPr="00C66EC7" w:rsidRDefault="00561C14" w:rsidP="002342D6">
      <w:pPr>
        <w:pStyle w:val="Heading1"/>
        <w:tabs>
          <w:tab w:val="clear" w:pos="450"/>
          <w:tab w:val="num" w:pos="360"/>
        </w:tabs>
        <w:spacing w:before="0" w:after="160"/>
        <w:ind w:left="360" w:hanging="360"/>
      </w:pPr>
      <w:r>
        <w:t>LIMITAÇÃO DE DANOS. A INDENIZAÇÃO DE DANOS DIRETOS PELA MICROSOFT E SEUS FORNECEDORES RESTRINGE-SE AO VALOR DE US$ 5,00 (CINCO DÓLARES AMERICANOS). NÃO SERÁ POSSÍVEL RECUPERAR QUAISQUER OUTROS DANOS, INCLUSIVE DANOS CONSEQUENCIAIS, ESPECIAIS</w:t>
      </w:r>
      <w:bookmarkStart w:id="2" w:name="_GoBack"/>
      <w:bookmarkEnd w:id="2"/>
      <w:r>
        <w:t>, INDIRETOS, INCIDENTAIS OU POR LUCROS CESSANTES.</w:t>
      </w:r>
    </w:p>
    <w:p w14:paraId="5543EA3F" w14:textId="6AE0ECF8" w:rsidR="00561C14" w:rsidRPr="00C66EC7" w:rsidRDefault="00561C14" w:rsidP="002342D6">
      <w:pPr>
        <w:pStyle w:val="Body1"/>
        <w:spacing w:before="0" w:after="160"/>
        <w:ind w:left="360"/>
      </w:pPr>
      <w: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297E617C" w14:textId="77777777" w:rsidR="00561C14" w:rsidRPr="00C66EC7" w:rsidRDefault="00561C14" w:rsidP="002342D6">
      <w:pPr>
        <w:spacing w:before="0" w:after="160"/>
        <w:ind w:left="360"/>
      </w:pPr>
      <w: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72D3FB7E" w14:textId="72AA63F2" w:rsidR="00396E3C" w:rsidRPr="00C66EC7" w:rsidRDefault="00F85139" w:rsidP="00DD7970">
      <w:pPr>
        <w:spacing w:before="0" w:after="160"/>
        <w:ind w:hanging="357"/>
      </w:pPr>
      <w:r>
        <w:rPr>
          <w:color w:val="000000"/>
        </w:rPr>
        <w:t xml:space="preserve">EULAID: </w:t>
      </w:r>
      <w:r>
        <w:rPr>
          <w:color w:val="1F3864"/>
        </w:rPr>
        <w:t>VS2017_CTP_EVAL_VS_</w:t>
      </w:r>
      <w:r w:rsidR="00D77B9E">
        <w:rPr>
          <w:color w:val="1F3864"/>
        </w:rPr>
        <w:t>PTB</w:t>
      </w:r>
      <w:r>
        <w:rPr>
          <w:color w:val="1F3864"/>
        </w:rPr>
        <w:t xml:space="preserve">.3 </w:t>
      </w:r>
      <w:r>
        <w:rPr>
          <w:rFonts w:ascii="Candara" w:hAnsi="Candara"/>
          <w:color w:val="1F3864"/>
          <w:sz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77B9E"/>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pt-BR" w:eastAsia="pt-BR"/>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D3D80A5E-A1A2-4E95-92FF-2C090A84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11971</Characters>
  <Application>Microsoft Office Word</Application>
  <DocSecurity>0</DocSecurity>
  <Lines>173</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