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E9" w:rsidRPr="00D814D9" w:rsidRDefault="003C2DE9" w:rsidP="009C1CC1">
      <w:pPr>
        <w:pStyle w:val="HeadingEULA"/>
        <w:rPr>
          <w:sz w:val="20"/>
          <w:szCs w:val="20"/>
        </w:rPr>
      </w:pPr>
      <w:r>
        <w:rPr>
          <w:sz w:val="20"/>
        </w:rPr>
        <w:t>TERMOS DE LICENÇA PARA SOFTWARE MICROSOFT</w:t>
      </w:r>
    </w:p>
    <w:p w:rsidR="003C2DE9" w:rsidRPr="00D814D9" w:rsidRDefault="003C2DE9" w:rsidP="00272C82">
      <w:pPr>
        <w:pStyle w:val="HeadingSoftwareTitle"/>
        <w:pBdr>
          <w:bottom w:val="single" w:sz="4" w:space="3" w:color="auto"/>
        </w:pBdr>
        <w:rPr>
          <w:sz w:val="20"/>
          <w:szCs w:val="20"/>
        </w:rPr>
      </w:pPr>
      <w:r>
        <w:rPr>
          <w:sz w:val="20"/>
        </w:rPr>
        <w:t>MICROSOFT VISUAL STUDIO TEAM FOUNDATION SERVER 2018, VERSÃO DE AVALIAÇÃO, E VERSÃO DO TEAM FOUNDATION SERVER EXPRESS</w:t>
      </w:r>
    </w:p>
    <w:p w:rsidR="003C2DE9" w:rsidRPr="00D814D9" w:rsidRDefault="003C2DE9" w:rsidP="00CC50E7">
      <w:pPr>
        <w:rPr>
          <w:sz w:val="20"/>
          <w:szCs w:val="20"/>
        </w:rPr>
      </w:pPr>
      <w:r>
        <w:rPr>
          <w:sz w:val="20"/>
        </w:rPr>
        <w:t>Estes termos de licença formam um contrato firmado entre a Microsoft Corporation (ou, dependendo do seu país de residência, uma de suas afiliadas) e você.   Eles se aplicam ao software indicado acima.  Os termos também se aplicam a todos os serviços e atualizações da Microsoft para o software, exceto até a extensão de que eles tenham termos diferentes.</w:t>
      </w:r>
    </w:p>
    <w:p w:rsidR="00AA45AF" w:rsidRPr="00D814D9" w:rsidRDefault="005F7C07" w:rsidP="00CC50E7">
      <w:pPr>
        <w:pStyle w:val="Preamble"/>
        <w:rPr>
          <w:b w:val="0"/>
          <w:bCs w:val="0"/>
          <w:sz w:val="20"/>
          <w:szCs w:val="20"/>
        </w:rPr>
      </w:pPr>
      <w:r>
        <w:rPr>
          <w:sz w:val="20"/>
        </w:rPr>
        <w:t>USAR O SOFTWARE REPRESENTA A SUA ACEITAÇÃO DESTES TERMOS.  SE VOCÊ NÃO ACEITÁ-LOS, NÃO USE O SOFTWARE.  NESSE CASO, DEVOLVA-O AO REVENDEDOR PARA OBTER REEMBOLSO OU UM CRÉDITO CORRESPONDENTE.</w:t>
      </w:r>
      <w:r>
        <w:rPr>
          <w:b w:val="0"/>
          <w:sz w:val="20"/>
        </w:rPr>
        <w:t xml:space="preserve">  Se você não conseguir obter o reembolso, entre em contato com a Microsoft ou a afiliada Microsoft que atende seu país para obter informações sobre as políticas de reembolso da Microsoft.  Visite </w:t>
      </w:r>
      <w:hyperlink r:id="rId11">
        <w:r>
          <w:rPr>
            <w:rStyle w:val="Hyperlink"/>
            <w:b w:val="0"/>
            <w:sz w:val="20"/>
          </w:rPr>
          <w:t>http://www.microsoft.com/worldwide</w:t>
        </w:r>
      </w:hyperlink>
      <w:r>
        <w:rPr>
          <w:b w:val="0"/>
          <w:sz w:val="20"/>
        </w:rPr>
        <w:t xml:space="preserve">.  </w:t>
      </w:r>
      <w:r>
        <w:t xml:space="preserve">Nos Estados Unidos e no Canadá, ligue para (800) MICROSOFT ou consulte o site </w:t>
      </w:r>
      <w:hyperlink r:id="rId12" w:history="1">
        <w:r w:rsidR="00152BEF" w:rsidRPr="00152BEF">
          <w:rPr>
            <w:rStyle w:val="Hyperlink"/>
            <w:b w:val="0"/>
            <w:sz w:val="20"/>
          </w:rPr>
          <w:t>aka.ms/nareturns</w:t>
        </w:r>
      </w:hyperlink>
      <w:r>
        <w:t>.</w:t>
      </w:r>
    </w:p>
    <w:p w:rsidR="00234402" w:rsidRPr="00D814D9" w:rsidRDefault="009A6A09" w:rsidP="003F5A99">
      <w:pPr>
        <w:pStyle w:val="Preamble"/>
        <w:tabs>
          <w:tab w:val="left" w:leader="underscore" w:pos="9360"/>
        </w:tabs>
        <w:rPr>
          <w:sz w:val="20"/>
          <w:szCs w:val="20"/>
        </w:rPr>
      </w:pPr>
      <w:r>
        <w:tab/>
      </w:r>
    </w:p>
    <w:p w:rsidR="007B7A8B" w:rsidRPr="00D814D9" w:rsidRDefault="008C730E" w:rsidP="007B7A8B">
      <w:pPr>
        <w:pStyle w:val="Preamble"/>
        <w:tabs>
          <w:tab w:val="left" w:leader="underscore" w:pos="9360"/>
        </w:tabs>
        <w:rPr>
          <w:b w:val="0"/>
          <w:sz w:val="20"/>
          <w:szCs w:val="20"/>
        </w:rPr>
      </w:pPr>
      <w:r>
        <w:rPr>
          <w:sz w:val="20"/>
        </w:rPr>
        <w:t>DIREITOS DE USO DO TEAM FOUNDATION SERVER, AVALIAÇÃO, e TEAM FOUNDATION SERVER EXPRESS.</w:t>
      </w:r>
      <w:r>
        <w:rPr>
          <w:b w:val="0"/>
          <w:sz w:val="20"/>
        </w:rPr>
        <w:t xml:space="preserve">  Se o software for a versão de avaliação ou Express, esta Seção será aplicável ao uso que você faz delas.</w:t>
      </w:r>
    </w:p>
    <w:p w:rsidR="007B7A8B" w:rsidRPr="00D814D9" w:rsidRDefault="007B7A8B" w:rsidP="007B7A8B">
      <w:pPr>
        <w:pStyle w:val="Preamble"/>
        <w:tabs>
          <w:tab w:val="left" w:leader="underscore" w:pos="9360"/>
        </w:tabs>
        <w:rPr>
          <w:b w:val="0"/>
          <w:sz w:val="20"/>
          <w:szCs w:val="20"/>
        </w:rPr>
      </w:pPr>
      <w:bookmarkStart w:id="0" w:name="_Hlk493754447"/>
      <w:r>
        <w:rPr>
          <w:sz w:val="20"/>
        </w:rPr>
        <w:t>USO DA VERSÃO DE AVALIAÇÃO.</w:t>
      </w:r>
      <w:r>
        <w:rPr>
          <w:b w:val="0"/>
          <w:sz w:val="20"/>
        </w:rPr>
        <w:t xml:space="preserve">  Você poderá usar a versão de avaliação em seus dispositivos exclusivamente para seus fins de avaliação interna.  Por exemplo, seus direitos de avaliação não incluem o direito de colocar em produção o uso de quaisquer componentes da versão de avaliação.  </w:t>
      </w:r>
    </w:p>
    <w:bookmarkEnd w:id="0"/>
    <w:p w:rsidR="00C750F4" w:rsidRPr="00D814D9" w:rsidRDefault="00D92289" w:rsidP="002D4427">
      <w:pPr>
        <w:pStyle w:val="Heading1"/>
        <w:keepNext/>
        <w:numPr>
          <w:ilvl w:val="0"/>
          <w:numId w:val="0"/>
        </w:numPr>
        <w:rPr>
          <w:b w:val="0"/>
          <w:bCs w:val="0"/>
          <w:sz w:val="20"/>
          <w:szCs w:val="20"/>
        </w:rPr>
      </w:pPr>
      <w:r>
        <w:rPr>
          <w:b w:val="0"/>
          <w:sz w:val="20"/>
        </w:rPr>
        <w:t>Você poderá usar a versão de avaliação por 90 (noventa) dias.  A versão de avaliação apresentará as opções de conversão a você 60 (sessenta) dias após você a instalar, depois apresentará novamente toda vez que um usuário fizer login no console de administração do servidor. A qualquer momento, você poderá converter seus direitos de avaliação em direitos Express (gratuitamente) ou de uso integral descritos abaixo, comprando uma licença de uso integral da Microsoft ou de um de seus distribuidores.  Talvez não seja possível acessar dados usados com a versão de avaliação quando sua execução for interrompida.</w:t>
      </w:r>
    </w:p>
    <w:p w:rsidR="001B06C6" w:rsidRPr="00D814D9" w:rsidRDefault="001B06C6" w:rsidP="001B06C6">
      <w:pPr>
        <w:pStyle w:val="Preamble"/>
        <w:tabs>
          <w:tab w:val="left" w:leader="underscore" w:pos="9360"/>
        </w:tabs>
        <w:rPr>
          <w:b w:val="0"/>
          <w:sz w:val="20"/>
          <w:szCs w:val="20"/>
        </w:rPr>
      </w:pPr>
      <w:r>
        <w:rPr>
          <w:sz w:val="20"/>
        </w:rPr>
        <w:t>USO DO VISUAL STUDIO TEAM FOUNDATION SERVER EXPRESS.</w:t>
      </w:r>
      <w:r>
        <w:rPr>
          <w:b w:val="0"/>
          <w:sz w:val="20"/>
        </w:rPr>
        <w:t xml:space="preserve"> </w:t>
      </w:r>
    </w:p>
    <w:p w:rsidR="001B06C6" w:rsidRPr="00D814D9" w:rsidRDefault="001B06C6" w:rsidP="001B06C6">
      <w:pPr>
        <w:pStyle w:val="Heading2"/>
        <w:tabs>
          <w:tab w:val="clear" w:pos="993"/>
          <w:tab w:val="num" w:pos="720"/>
        </w:tabs>
        <w:ind w:left="720" w:hanging="360"/>
        <w:rPr>
          <w:b w:val="0"/>
          <w:sz w:val="20"/>
          <w:szCs w:val="20"/>
        </w:rPr>
      </w:pPr>
      <w:r>
        <w:rPr>
          <w:sz w:val="20"/>
        </w:rPr>
        <w:t xml:space="preserve">Execução de Instâncias do Software de Servidores.  </w:t>
      </w:r>
      <w:r>
        <w:rPr>
          <w:b w:val="0"/>
          <w:sz w:val="20"/>
        </w:rPr>
        <w:t xml:space="preserve">Você só poderá usar uma instância do software para servidores cedida a um ambiente de sistema operacional físico ou virtual. Para as finalidades desta outorga de licença Express, cada usuário ou dispositivo conectado ao software para servidores é considerada uma Licença de Acesso para Cliente (CAL). Você pode conectar qualquer combinação de até 5 (cinco) usuários ou dispositivos para acessar a instância do software para servidores nos casos em que a CAL é necessária (consulte a Seção C abaixo para os casos em que a CAL não é necessária). </w:t>
      </w:r>
    </w:p>
    <w:p w:rsidR="001B06C6" w:rsidRPr="00D814D9" w:rsidRDefault="002656BA" w:rsidP="001B06C6">
      <w:pPr>
        <w:pStyle w:val="Heading2"/>
        <w:tabs>
          <w:tab w:val="clear" w:pos="993"/>
          <w:tab w:val="num" w:pos="720"/>
        </w:tabs>
        <w:ind w:left="720" w:hanging="360"/>
        <w:rPr>
          <w:b w:val="0"/>
          <w:bCs w:val="0"/>
          <w:sz w:val="20"/>
          <w:szCs w:val="20"/>
        </w:rPr>
      </w:pPr>
      <w:r>
        <w:rPr>
          <w:sz w:val="20"/>
        </w:rPr>
        <w:t xml:space="preserve">Visual Studio Team Foundation Build Services.  </w:t>
      </w:r>
      <w:r>
        <w:rPr>
          <w:b w:val="0"/>
          <w:sz w:val="20"/>
        </w:rPr>
        <w:t xml:space="preserve">Você pode executar ou usar qualquer quantidade de instâncias do Visual Studio Team Foundation Build Services em ambientes de sistema operacional físico ou virtual, em quantos dispositivos quiser.  Você só poderá usar este software adicional diretamente com o software para servidores ou indiretamente por meio de outro software adicional. </w:t>
      </w:r>
    </w:p>
    <w:p w:rsidR="002553DA" w:rsidRPr="00D814D9" w:rsidRDefault="00CC0F17" w:rsidP="00CC0F17">
      <w:pPr>
        <w:pStyle w:val="Heading2"/>
        <w:tabs>
          <w:tab w:val="clear" w:pos="993"/>
          <w:tab w:val="num" w:pos="720"/>
        </w:tabs>
        <w:ind w:left="720" w:hanging="360"/>
        <w:rPr>
          <w:b w:val="0"/>
          <w:sz w:val="20"/>
          <w:szCs w:val="20"/>
        </w:rPr>
      </w:pPr>
      <w:r>
        <w:rPr>
          <w:sz w:val="20"/>
        </w:rPr>
        <w:t xml:space="preserve">Uso que não Requer uma Licença de Acesso para Cliente.  </w:t>
      </w:r>
      <w:r>
        <w:rPr>
          <w:b w:val="0"/>
          <w:sz w:val="20"/>
        </w:rPr>
        <w:t xml:space="preserve">Uma CAL não é exigida: </w:t>
      </w:r>
    </w:p>
    <w:p w:rsidR="002553DA" w:rsidRPr="00D814D9" w:rsidRDefault="002553DA" w:rsidP="00AE6FC8">
      <w:pPr>
        <w:pStyle w:val="Heading1"/>
        <w:numPr>
          <w:ilvl w:val="0"/>
          <w:numId w:val="24"/>
        </w:numPr>
        <w:rPr>
          <w:b w:val="0"/>
          <w:sz w:val="20"/>
          <w:szCs w:val="20"/>
        </w:rPr>
      </w:pPr>
      <w:r>
        <w:rPr>
          <w:b w:val="0"/>
          <w:sz w:val="20"/>
        </w:rPr>
        <w:t xml:space="preserve">para visualizar, editar nem inserir itens de trabalho; ou </w:t>
      </w:r>
    </w:p>
    <w:p w:rsidR="00A062B6" w:rsidRPr="00D814D9" w:rsidRDefault="00CC3586" w:rsidP="00AE6FC8">
      <w:pPr>
        <w:pStyle w:val="Heading1"/>
        <w:numPr>
          <w:ilvl w:val="0"/>
          <w:numId w:val="24"/>
        </w:numPr>
        <w:rPr>
          <w:b w:val="0"/>
          <w:sz w:val="20"/>
          <w:szCs w:val="20"/>
        </w:rPr>
      </w:pPr>
      <w:r>
        <w:rPr>
          <w:b w:val="0"/>
          <w:sz w:val="20"/>
        </w:rPr>
        <w:t>para acessar o Visual Studio Team Foundation Server por meio de uma conexão em conjunto a partir de outro serviço ou aplicativo integrado.</w:t>
      </w:r>
    </w:p>
    <w:p w:rsidR="003C4EF2" w:rsidRPr="00385A5C" w:rsidRDefault="003C4EF2" w:rsidP="003C4EF2">
      <w:pPr>
        <w:pStyle w:val="Heading2"/>
        <w:keepNext/>
        <w:tabs>
          <w:tab w:val="clear" w:pos="993"/>
          <w:tab w:val="num" w:pos="720"/>
        </w:tabs>
        <w:ind w:left="720" w:hanging="360"/>
        <w:rPr>
          <w:sz w:val="20"/>
          <w:szCs w:val="20"/>
        </w:rPr>
      </w:pPr>
      <w:r>
        <w:rPr>
          <w:sz w:val="20"/>
        </w:rPr>
        <w:lastRenderedPageBreak/>
        <w:t xml:space="preserve">Licenças Adicionais Obrigatórias.  </w:t>
      </w:r>
      <w:r>
        <w:rPr>
          <w:b w:val="0"/>
          <w:sz w:val="20"/>
        </w:rPr>
        <w:t>Para usar os recursos do software, Gerenciamento de Testes, Gerenciamento de Pacote ou Implementações Simultâneas no Gerenciamento de Versão, o usuário deve ter a licença para uma das assinaturas listadas conforme segue:</w:t>
      </w:r>
    </w:p>
    <w:p w:rsidR="003C4EF2" w:rsidRPr="00352D23" w:rsidRDefault="003C4EF2" w:rsidP="003C4EF2">
      <w:pPr>
        <w:pStyle w:val="Bullet4"/>
        <w:tabs>
          <w:tab w:val="clear" w:pos="1437"/>
          <w:tab w:val="num" w:pos="1080"/>
        </w:tabs>
        <w:ind w:left="1080" w:hanging="360"/>
        <w:rPr>
          <w:sz w:val="20"/>
          <w:szCs w:val="20"/>
          <w:u w:val="single"/>
        </w:rPr>
      </w:pPr>
      <w:r>
        <w:rPr>
          <w:sz w:val="20"/>
          <w:u w:val="single"/>
        </w:rPr>
        <w:t>Gerenciamento de Testes</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Subscription </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 assinatura mensal </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 assinatura anual  </w:t>
      </w:r>
    </w:p>
    <w:p w:rsidR="003C4EF2" w:rsidRPr="00385A5C" w:rsidRDefault="003C4EF2" w:rsidP="00655210">
      <w:pPr>
        <w:pStyle w:val="Heading2"/>
        <w:widowControl w:val="0"/>
        <w:numPr>
          <w:ilvl w:val="0"/>
          <w:numId w:val="0"/>
        </w:numPr>
        <w:ind w:left="1080"/>
        <w:rPr>
          <w:sz w:val="20"/>
          <w:szCs w:val="20"/>
        </w:rPr>
      </w:pPr>
      <w:r>
        <w:rPr>
          <w:b w:val="0"/>
          <w:sz w:val="20"/>
        </w:rPr>
        <w:t>Plataformas MSDN, ou</w:t>
      </w:r>
    </w:p>
    <w:p w:rsidR="003C4EF2" w:rsidRDefault="003C4EF2" w:rsidP="00655210">
      <w:pPr>
        <w:pStyle w:val="Heading2"/>
        <w:widowControl w:val="0"/>
        <w:numPr>
          <w:ilvl w:val="0"/>
          <w:numId w:val="0"/>
        </w:numPr>
        <w:ind w:left="1080"/>
        <w:rPr>
          <w:b w:val="0"/>
          <w:sz w:val="20"/>
          <w:szCs w:val="20"/>
        </w:rPr>
      </w:pPr>
      <w:r>
        <w:rPr>
          <w:b w:val="0"/>
          <w:sz w:val="20"/>
        </w:rPr>
        <w:t>Um plano pago para o Visual Studio Team Services Test Manager</w:t>
      </w:r>
    </w:p>
    <w:p w:rsidR="003C4EF2" w:rsidRPr="00655210" w:rsidRDefault="003C4EF2" w:rsidP="003C4EF2">
      <w:pPr>
        <w:pStyle w:val="Bullet4"/>
        <w:tabs>
          <w:tab w:val="clear" w:pos="1437"/>
          <w:tab w:val="num" w:pos="1080"/>
        </w:tabs>
        <w:ind w:left="1080" w:hanging="360"/>
        <w:rPr>
          <w:sz w:val="20"/>
          <w:szCs w:val="20"/>
          <w:u w:val="single"/>
        </w:rPr>
      </w:pPr>
      <w:r>
        <w:rPr>
          <w:sz w:val="20"/>
          <w:u w:val="single"/>
        </w:rPr>
        <w:t>Gerenciamento de Pacote</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Subscription </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 assinatura mensal </w:t>
      </w:r>
    </w:p>
    <w:p w:rsidR="003C4EF2" w:rsidRPr="00385A5C" w:rsidRDefault="003C4EF2" w:rsidP="00655210">
      <w:pPr>
        <w:pStyle w:val="Heading2"/>
        <w:widowControl w:val="0"/>
        <w:numPr>
          <w:ilvl w:val="0"/>
          <w:numId w:val="0"/>
        </w:numPr>
        <w:ind w:left="1080"/>
        <w:rPr>
          <w:sz w:val="20"/>
          <w:szCs w:val="20"/>
        </w:rPr>
      </w:pPr>
      <w:r>
        <w:rPr>
          <w:b w:val="0"/>
          <w:sz w:val="20"/>
        </w:rPr>
        <w:t xml:space="preserve">Visual Studio Enterprise – assinatura anual, ou </w:t>
      </w:r>
    </w:p>
    <w:p w:rsidR="003C4EF2" w:rsidRPr="00B54C7C" w:rsidRDefault="003C4EF2" w:rsidP="00655210">
      <w:pPr>
        <w:pStyle w:val="Heading2"/>
        <w:widowControl w:val="0"/>
        <w:numPr>
          <w:ilvl w:val="0"/>
          <w:numId w:val="0"/>
        </w:numPr>
        <w:ind w:left="1080"/>
        <w:rPr>
          <w:b w:val="0"/>
          <w:sz w:val="20"/>
          <w:szCs w:val="20"/>
        </w:rPr>
      </w:pPr>
      <w:r>
        <w:rPr>
          <w:b w:val="0"/>
          <w:sz w:val="20"/>
        </w:rPr>
        <w:t>Um plano pago para o Gerenciamento de Pacote Visual Studio Team Services</w:t>
      </w:r>
    </w:p>
    <w:p w:rsidR="003C4EF2" w:rsidRDefault="003C4EF2" w:rsidP="003C4EF2">
      <w:pPr>
        <w:pStyle w:val="Bullet4"/>
        <w:numPr>
          <w:ilvl w:val="0"/>
          <w:numId w:val="26"/>
        </w:numPr>
        <w:ind w:left="1080"/>
      </w:pPr>
      <w:r>
        <w:rPr>
          <w:u w:val="single"/>
        </w:rPr>
        <w:t>Implementações Simultâneas usando Gerenciamento de Versão</w:t>
      </w:r>
      <w:r>
        <w:t xml:space="preserve"> (1 licença incluída por licença de servidor)</w:t>
      </w:r>
    </w:p>
    <w:p w:rsidR="003C4EF2" w:rsidRPr="00385A5C" w:rsidRDefault="003C4EF2" w:rsidP="00655210">
      <w:pPr>
        <w:pStyle w:val="Heading2"/>
        <w:keepNext/>
        <w:numPr>
          <w:ilvl w:val="0"/>
          <w:numId w:val="0"/>
        </w:numPr>
        <w:ind w:left="720" w:firstLine="360"/>
        <w:rPr>
          <w:b w:val="0"/>
          <w:sz w:val="20"/>
          <w:szCs w:val="20"/>
        </w:rPr>
      </w:pPr>
      <w:r>
        <w:rPr>
          <w:b w:val="0"/>
          <w:sz w:val="20"/>
        </w:rPr>
        <w:t>implementações simultâneas adicionais estão incluídas nas compras de licença de:</w:t>
      </w:r>
    </w:p>
    <w:p w:rsidR="003C4EF2" w:rsidRPr="00B54C7C" w:rsidRDefault="003C4EF2" w:rsidP="00352D23">
      <w:pPr>
        <w:pStyle w:val="Heading2"/>
        <w:keepNext/>
        <w:numPr>
          <w:ilvl w:val="0"/>
          <w:numId w:val="0"/>
        </w:numPr>
        <w:ind w:left="1080"/>
        <w:rPr>
          <w:sz w:val="20"/>
          <w:szCs w:val="20"/>
        </w:rPr>
      </w:pPr>
      <w:r>
        <w:rPr>
          <w:b w:val="0"/>
          <w:sz w:val="20"/>
        </w:rPr>
        <w:t xml:space="preserve">Visual Studio Enterprise Subscription </w:t>
      </w:r>
    </w:p>
    <w:p w:rsidR="003C4EF2" w:rsidRPr="00385A5C" w:rsidRDefault="003C4EF2" w:rsidP="00352D23">
      <w:pPr>
        <w:pStyle w:val="Heading2"/>
        <w:widowControl w:val="0"/>
        <w:numPr>
          <w:ilvl w:val="0"/>
          <w:numId w:val="0"/>
        </w:numPr>
        <w:ind w:left="1080"/>
        <w:rPr>
          <w:sz w:val="20"/>
          <w:szCs w:val="20"/>
        </w:rPr>
      </w:pPr>
      <w:r>
        <w:rPr>
          <w:b w:val="0"/>
          <w:sz w:val="20"/>
        </w:rPr>
        <w:t xml:space="preserve">Visual Studio Enterprise – assinatura mensal </w:t>
      </w:r>
    </w:p>
    <w:p w:rsidR="003C4EF2" w:rsidRPr="00E92217" w:rsidRDefault="003C4EF2" w:rsidP="00352D23">
      <w:pPr>
        <w:pStyle w:val="Heading2"/>
        <w:widowControl w:val="0"/>
        <w:numPr>
          <w:ilvl w:val="0"/>
          <w:numId w:val="0"/>
        </w:numPr>
        <w:ind w:left="1080"/>
        <w:rPr>
          <w:sz w:val="20"/>
          <w:szCs w:val="20"/>
        </w:rPr>
      </w:pPr>
      <w:r>
        <w:rPr>
          <w:b w:val="0"/>
          <w:sz w:val="20"/>
        </w:rPr>
        <w:t>Visual Studio Enterprise – assinatura anual, ou</w:t>
      </w:r>
    </w:p>
    <w:p w:rsidR="003C4EF2" w:rsidRPr="00655210" w:rsidRDefault="003C4EF2" w:rsidP="00352D23">
      <w:pPr>
        <w:pStyle w:val="Bullet4"/>
        <w:numPr>
          <w:ilvl w:val="0"/>
          <w:numId w:val="0"/>
        </w:numPr>
        <w:ind w:left="1080"/>
        <w:rPr>
          <w:b/>
          <w:bCs/>
        </w:rPr>
      </w:pPr>
      <w:r>
        <w:t>Visual Studio Team Services Build &amp; Release Private Pipeline</w:t>
      </w:r>
    </w:p>
    <w:p w:rsidR="009A6A09" w:rsidRPr="00D814D9" w:rsidRDefault="009A6A09" w:rsidP="00356513">
      <w:pPr>
        <w:pStyle w:val="Heading1"/>
        <w:numPr>
          <w:ilvl w:val="0"/>
          <w:numId w:val="17"/>
        </w:numPr>
        <w:rPr>
          <w:caps/>
          <w:sz w:val="20"/>
          <w:szCs w:val="20"/>
        </w:rPr>
      </w:pPr>
      <w:r>
        <w:rPr>
          <w:caps/>
          <w:sz w:val="20"/>
        </w:rPr>
        <w:t>Isenção de Garantia.  As VERSÕES DE AVALIAÇÃO E EXPRESS DO TEAM FOUNDATION SERVER SÃO licenciadas “no estado em que se encontram”.  Você assume o risco de usá-las.  A Microsoft não oferece garantias nem condições contratuais expressas.  Até o limite permitido pelas leis locais, a Microsoft exclui as garantias legais de atendimento a padrões de comercialização, adequação a uma finalidade específica e não violação</w:t>
      </w:r>
      <w:r>
        <w:t>.</w:t>
      </w:r>
    </w:p>
    <w:p w:rsidR="009A6A09" w:rsidRPr="00D814D9" w:rsidRDefault="009A6A09" w:rsidP="00356513">
      <w:pPr>
        <w:pStyle w:val="Heading1"/>
        <w:numPr>
          <w:ilvl w:val="0"/>
          <w:numId w:val="17"/>
        </w:numPr>
        <w:rPr>
          <w:b w:val="0"/>
          <w:bCs w:val="0"/>
          <w:sz w:val="20"/>
          <w:szCs w:val="20"/>
        </w:rPr>
      </w:pPr>
      <w:r>
        <w:rPr>
          <w:b w:val="0"/>
          <w:sz w:val="20"/>
        </w:rPr>
        <w:t>Como os softwares da versão de avaliação e Express do Team Foundation Server são fornecidos “no estado em que se encontram”, nós poderemos não prestar serviços de suporte para eles.</w:t>
      </w:r>
    </w:p>
    <w:p w:rsidR="009A6A09" w:rsidRPr="00D814D9" w:rsidRDefault="009A6A09" w:rsidP="00356513">
      <w:pPr>
        <w:pStyle w:val="Body1"/>
        <w:numPr>
          <w:ilvl w:val="1"/>
          <w:numId w:val="19"/>
        </w:numPr>
        <w:tabs>
          <w:tab w:val="num" w:pos="720"/>
        </w:tabs>
        <w:ind w:left="720" w:hanging="360"/>
        <w:rPr>
          <w:b/>
          <w:sz w:val="20"/>
          <w:szCs w:val="20"/>
        </w:rPr>
      </w:pPr>
      <w:r>
        <w:rPr>
          <w:b/>
          <w:caps/>
          <w:sz w:val="20"/>
        </w:rPr>
        <w:t>Limitação e Exclusão de Indenizações.  Você pode recuperar da Microsoft e de seus fornecedores apenas danos diretos de até US$ 5,00.  Não será possível recuperar quaisquer outros danos, inclusive por lucros cessantes, danos consequenciais, especiais, indiretos ou incidentais.</w:t>
      </w:r>
    </w:p>
    <w:p w:rsidR="009A6A09" w:rsidRPr="00D814D9" w:rsidRDefault="009A6A09" w:rsidP="00D86916">
      <w:pPr>
        <w:pStyle w:val="Body1"/>
        <w:ind w:left="714"/>
        <w:rPr>
          <w:sz w:val="20"/>
          <w:szCs w:val="20"/>
        </w:rPr>
      </w:pPr>
      <w:r>
        <w:rPr>
          <w:sz w:val="20"/>
        </w:rPr>
        <w:t>Esta limitação se aplica a (a) qualquer questão relacionada à versão de avaliação, aos serviços, ao conteúdo (inclusive código) em sites ou programas de terceiros e (b) requerimentos judiciais ou extrajudiciais de violação de contrato, de garantia ou condição, de responsabilidade objetiva, de negligência ou de outro ato ilícito extracontratual, até o limite permitido pela lei aplicável.</w:t>
      </w:r>
    </w:p>
    <w:p w:rsidR="009A6A09" w:rsidRPr="00D814D9" w:rsidRDefault="009A6A09" w:rsidP="00ED1846">
      <w:pPr>
        <w:pStyle w:val="Body1"/>
        <w:spacing w:before="0" w:after="0"/>
        <w:ind w:left="720"/>
        <w:rPr>
          <w:sz w:val="20"/>
          <w:szCs w:val="20"/>
        </w:rPr>
      </w:pPr>
      <w:r>
        <w:rPr>
          <w:sz w:val="20"/>
        </w:rPr>
        <w:t xml:space="preserve">A limitação também se aplicará mesmo que a Microsoft saiba ou tenha sido avisada da possibilidade de danos.  A limitação ou exclusão acima poderá não se aplicar a você se a </w:t>
      </w:r>
      <w:r>
        <w:rPr>
          <w:sz w:val="20"/>
        </w:rPr>
        <w:lastRenderedPageBreak/>
        <w:t>legislação do seu país proibir, entre outros, a exclusão ou a limitação de danos incidentais ou consequenciais.</w:t>
      </w:r>
    </w:p>
    <w:p w:rsidR="0092772C" w:rsidRPr="008A5518" w:rsidRDefault="0092772C">
      <w:pPr>
        <w:spacing w:before="0" w:after="0"/>
        <w:rPr>
          <w:sz w:val="20"/>
          <w:szCs w:val="20"/>
        </w:rPr>
      </w:pPr>
      <w:r>
        <w:br w:type="page"/>
      </w:r>
    </w:p>
    <w:p w:rsidR="00356513" w:rsidRPr="00D814D9" w:rsidRDefault="003F5A99" w:rsidP="00356513">
      <w:pPr>
        <w:pStyle w:val="PreambleBorderAbove"/>
        <w:widowControl w:val="0"/>
        <w:rPr>
          <w:rStyle w:val="CommentReference"/>
          <w:rFonts w:cs="Tahoma"/>
          <w:b w:val="0"/>
          <w:bCs w:val="0"/>
          <w:sz w:val="20"/>
          <w:szCs w:val="20"/>
        </w:rPr>
      </w:pPr>
      <w:r>
        <w:rPr>
          <w:sz w:val="20"/>
        </w:rPr>
        <w:lastRenderedPageBreak/>
        <w:t xml:space="preserve">TERMOS DE LICENÇA DE USO INTEGRAL PARA O SOFTWARE:  </w:t>
      </w:r>
      <w:r>
        <w:rPr>
          <w:b w:val="0"/>
          <w:sz w:val="20"/>
        </w:rPr>
        <w:t xml:space="preserve">Quando você adquire o software, os termos de uso integral a seguir se aplicarão. </w:t>
      </w:r>
      <w:r>
        <w:rPr>
          <w:rStyle w:val="CommentReference"/>
          <w:b w:val="0"/>
          <w:sz w:val="20"/>
        </w:rPr>
        <w:t xml:space="preserve"> </w:t>
      </w:r>
    </w:p>
    <w:p w:rsidR="003C2DE9" w:rsidRPr="00D814D9" w:rsidRDefault="005F7C07" w:rsidP="00356513">
      <w:pPr>
        <w:pStyle w:val="Heading1"/>
        <w:numPr>
          <w:ilvl w:val="0"/>
          <w:numId w:val="28"/>
        </w:numPr>
        <w:rPr>
          <w:sz w:val="20"/>
          <w:szCs w:val="20"/>
        </w:rPr>
      </w:pPr>
      <w:r>
        <w:rPr>
          <w:sz w:val="20"/>
        </w:rPr>
        <w:t>VISÃO GERAL.</w:t>
      </w:r>
    </w:p>
    <w:p w:rsidR="003C2DE9" w:rsidRPr="00D814D9" w:rsidRDefault="005F7C07" w:rsidP="004B34DD">
      <w:pPr>
        <w:pStyle w:val="Heading2"/>
        <w:tabs>
          <w:tab w:val="clear" w:pos="993"/>
        </w:tabs>
        <w:ind w:left="720" w:hanging="360"/>
      </w:pPr>
      <w:r>
        <w:t>Modelo de Licença.  O software é licenciado com base nos seguintes itens:</w:t>
      </w:r>
    </w:p>
    <w:p w:rsidR="00E346DC" w:rsidRPr="00D814D9" w:rsidRDefault="005F7C07" w:rsidP="00CC50E7">
      <w:pPr>
        <w:pStyle w:val="Bullet3"/>
        <w:ind w:left="1080" w:hanging="360"/>
        <w:rPr>
          <w:sz w:val="20"/>
          <w:szCs w:val="20"/>
        </w:rPr>
      </w:pPr>
      <w:r>
        <w:rPr>
          <w:sz w:val="20"/>
        </w:rPr>
        <w:t xml:space="preserve">o número de instâncias do software para servidores executadas por você e </w:t>
      </w:r>
    </w:p>
    <w:p w:rsidR="006A4C79" w:rsidRPr="00D814D9" w:rsidRDefault="005F7C07" w:rsidP="00CC50E7">
      <w:pPr>
        <w:pStyle w:val="Bullet3"/>
        <w:ind w:left="1080" w:hanging="360"/>
        <w:rPr>
          <w:sz w:val="20"/>
          <w:szCs w:val="20"/>
        </w:rPr>
      </w:pPr>
      <w:r>
        <w:rPr>
          <w:sz w:val="20"/>
        </w:rPr>
        <w:t>o número de dispositivos e usuários que acessam instâncias do software para servidores.</w:t>
      </w:r>
    </w:p>
    <w:p w:rsidR="00B67FDB" w:rsidRPr="00D814D9" w:rsidRDefault="005F7C07" w:rsidP="00CC50E7">
      <w:pPr>
        <w:pStyle w:val="Heading2"/>
        <w:tabs>
          <w:tab w:val="clear" w:pos="993"/>
          <w:tab w:val="num" w:pos="720"/>
        </w:tabs>
        <w:ind w:left="720" w:hanging="360"/>
        <w:rPr>
          <w:sz w:val="20"/>
          <w:szCs w:val="20"/>
        </w:rPr>
      </w:pPr>
      <w:r>
        <w:rPr>
          <w:sz w:val="20"/>
        </w:rPr>
        <w:t xml:space="preserve">Termos de Licença para Uso com Servidor Virtual e Outras Tecnologias Semelhantes. </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Pr>
          <w:sz w:val="20"/>
        </w:rPr>
        <w:t>Instância.</w:t>
      </w:r>
      <w:r>
        <w:rPr>
          <w:b w:val="0"/>
          <w:sz w:val="20"/>
        </w:rPr>
        <w:t xml:space="preserve">  Crie uma “instância” do software criada executando o procedimento de instalação ou configuração do software ou duplicando uma instância existente.  As referências ao software, neste contrato, incluem “instâncias” do software.</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Pr>
          <w:sz w:val="20"/>
        </w:rPr>
        <w:t>Executar uma Instância.</w:t>
      </w:r>
      <w:r>
        <w:rPr>
          <w:b w:val="0"/>
          <w:sz w:val="20"/>
        </w:rPr>
        <w:t xml:space="preserve">  Você “executa uma instância” do software carregando-a na memória e executando uma ou mais instruções.  Quando estiver sendo executada, uma instância será considerada em execução (independentemente de suas instruções continuarem ou não a ser executadas) até ser removida da memória.</w:t>
      </w:r>
    </w:p>
    <w:p w:rsidR="00B67FDB" w:rsidRPr="00D814D9" w:rsidRDefault="005F7C07" w:rsidP="00480A78">
      <w:pPr>
        <w:pStyle w:val="Heading3Bold"/>
        <w:numPr>
          <w:ilvl w:val="2"/>
          <w:numId w:val="14"/>
        </w:numPr>
        <w:tabs>
          <w:tab w:val="clear" w:pos="1077"/>
          <w:tab w:val="num" w:pos="1080"/>
        </w:tabs>
        <w:ind w:left="1080" w:hanging="360"/>
        <w:rPr>
          <w:b w:val="0"/>
          <w:bCs w:val="0"/>
          <w:sz w:val="20"/>
          <w:szCs w:val="20"/>
        </w:rPr>
      </w:pPr>
      <w:r>
        <w:rPr>
          <w:sz w:val="20"/>
        </w:rPr>
        <w:t>Ambiente de Sistema Operacional (“OSE”).</w:t>
      </w:r>
      <w:r>
        <w:rPr>
          <w:b w:val="0"/>
          <w:sz w:val="20"/>
        </w:rPr>
        <w:t xml:space="preserve">  Um OSE </w:t>
      </w:r>
    </w:p>
    <w:p w:rsidR="00B67FDB" w:rsidRPr="00D814D9" w:rsidRDefault="00266528" w:rsidP="00CC50E7">
      <w:pPr>
        <w:pStyle w:val="Bullet4"/>
        <w:tabs>
          <w:tab w:val="clear" w:pos="1437"/>
          <w:tab w:val="num" w:pos="1440"/>
        </w:tabs>
        <w:ind w:left="1440" w:hanging="360"/>
        <w:rPr>
          <w:sz w:val="20"/>
          <w:szCs w:val="20"/>
        </w:rPr>
      </w:pPr>
      <w:r>
        <w:rPr>
          <w:sz w:val="20"/>
        </w:rPr>
        <w:t xml:space="preserve">é toda a ou parte da instância de sistema operacional virtual, ou toda ou parte da instância do sistema operacional (ou emulado) que habilita direitos de identidade de máquina separados (nome do computador principal ou identificador exclusivo semelhante) ou direitos administrativos separados e </w:t>
      </w:r>
    </w:p>
    <w:p w:rsidR="00B67FDB" w:rsidRPr="00D814D9" w:rsidRDefault="00266528" w:rsidP="00CC50E7">
      <w:pPr>
        <w:pStyle w:val="Bullet4"/>
        <w:tabs>
          <w:tab w:val="clear" w:pos="1437"/>
          <w:tab w:val="num" w:pos="1440"/>
        </w:tabs>
        <w:ind w:left="1440" w:hanging="360"/>
        <w:rPr>
          <w:sz w:val="20"/>
          <w:szCs w:val="20"/>
        </w:rPr>
      </w:pPr>
      <w:r>
        <w:rPr>
          <w:sz w:val="20"/>
        </w:rPr>
        <w:t xml:space="preserve">são instâncias de aplicativos, se houver, configuradas para serem executadas na instância de sistema operacional ou nas partes identificadas acima. </w:t>
      </w:r>
    </w:p>
    <w:p w:rsidR="00A30398" w:rsidRPr="00D814D9" w:rsidRDefault="005F7C07" w:rsidP="00CC50E7">
      <w:pPr>
        <w:pStyle w:val="Body3"/>
        <w:tabs>
          <w:tab w:val="num" w:pos="1440"/>
        </w:tabs>
        <w:ind w:left="1440" w:hanging="360"/>
        <w:rPr>
          <w:sz w:val="20"/>
          <w:szCs w:val="20"/>
        </w:rPr>
      </w:pPr>
      <w:r>
        <w:rPr>
          <w:sz w:val="20"/>
        </w:rPr>
        <w:t xml:space="preserve">Há dois tipos de licenças de OSEs, física e virtual. </w:t>
      </w:r>
    </w:p>
    <w:p w:rsidR="00B776DC" w:rsidRPr="00D814D9" w:rsidRDefault="005F7C07" w:rsidP="008874DA">
      <w:pPr>
        <w:pStyle w:val="Body3"/>
        <w:tabs>
          <w:tab w:val="num" w:pos="1440"/>
        </w:tabs>
        <w:ind w:left="1080"/>
        <w:rPr>
          <w:sz w:val="20"/>
          <w:szCs w:val="20"/>
        </w:rPr>
      </w:pPr>
      <w:r>
        <w:rPr>
          <w:sz w:val="20"/>
        </w:rPr>
        <w:t xml:space="preserve">Um “OSE físico” está configurado para ser executado diretamente em um sistema de hardware físico.  A instância de sistema operacional usada para executar o software de virtualização do hardware (por exemplo, o Microsoft Virtual Server ou tecnologias similares) ou para fornecer serviços de virtualização de hardware (por exemplo, tecnologias de virtualização da Microsoft) é considerada parte do OSE físico.  </w:t>
      </w:r>
    </w:p>
    <w:p w:rsidR="00B776DC" w:rsidRPr="00D814D9" w:rsidRDefault="005F7C07" w:rsidP="008874DA">
      <w:pPr>
        <w:pStyle w:val="Body3"/>
        <w:tabs>
          <w:tab w:val="num" w:pos="1440"/>
        </w:tabs>
        <w:ind w:left="1080"/>
        <w:rPr>
          <w:sz w:val="20"/>
          <w:szCs w:val="20"/>
        </w:rPr>
      </w:pPr>
      <w:r>
        <w:rPr>
          <w:sz w:val="20"/>
        </w:rPr>
        <w:t xml:space="preserve">Um “OSE virtual” é configurado para ser executado em um sistema de hardware virtual. </w:t>
      </w:r>
    </w:p>
    <w:p w:rsidR="00B67FDB" w:rsidRPr="00D814D9" w:rsidRDefault="005F7C07" w:rsidP="00CC50E7">
      <w:pPr>
        <w:pStyle w:val="Body3"/>
        <w:tabs>
          <w:tab w:val="num" w:pos="1440"/>
        </w:tabs>
        <w:ind w:left="1440" w:hanging="360"/>
        <w:rPr>
          <w:sz w:val="20"/>
          <w:szCs w:val="20"/>
        </w:rPr>
      </w:pPr>
      <w:r>
        <w:rPr>
          <w:sz w:val="20"/>
        </w:rPr>
        <w:t>Um sistema de hardware físico pode ter um ou ambos os itens a seguir:</w:t>
      </w:r>
    </w:p>
    <w:p w:rsidR="00B67FDB" w:rsidRPr="00D814D9" w:rsidRDefault="005F7C07" w:rsidP="00CC50E7">
      <w:pPr>
        <w:pStyle w:val="Bullet4"/>
        <w:tabs>
          <w:tab w:val="clear" w:pos="1437"/>
          <w:tab w:val="num" w:pos="1440"/>
        </w:tabs>
        <w:ind w:left="1440" w:hanging="360"/>
        <w:rPr>
          <w:sz w:val="20"/>
          <w:szCs w:val="20"/>
        </w:rPr>
      </w:pPr>
      <w:r>
        <w:rPr>
          <w:sz w:val="20"/>
        </w:rPr>
        <w:t>um ambiente de sistema operacional físico e</w:t>
      </w:r>
    </w:p>
    <w:p w:rsidR="00B67FDB" w:rsidRPr="00D814D9" w:rsidRDefault="005F7C07" w:rsidP="00CC50E7">
      <w:pPr>
        <w:pStyle w:val="Bullet4"/>
        <w:tabs>
          <w:tab w:val="clear" w:pos="1437"/>
          <w:tab w:val="num" w:pos="1440"/>
        </w:tabs>
        <w:ind w:left="1440" w:hanging="360"/>
        <w:rPr>
          <w:sz w:val="20"/>
          <w:szCs w:val="20"/>
        </w:rPr>
      </w:pPr>
      <w:r>
        <w:rPr>
          <w:sz w:val="20"/>
        </w:rPr>
        <w:t>um ou mais ambientes de sistema operacional virtual.</w:t>
      </w:r>
    </w:p>
    <w:p w:rsidR="00B67FDB" w:rsidRPr="00D814D9" w:rsidRDefault="005F7C07" w:rsidP="007E2ECA">
      <w:pPr>
        <w:pStyle w:val="Heading3Bold"/>
        <w:numPr>
          <w:ilvl w:val="2"/>
          <w:numId w:val="15"/>
        </w:numPr>
        <w:tabs>
          <w:tab w:val="clear" w:pos="1077"/>
          <w:tab w:val="num" w:pos="1080"/>
        </w:tabs>
        <w:ind w:left="1080"/>
        <w:rPr>
          <w:b w:val="0"/>
          <w:bCs w:val="0"/>
          <w:strike/>
          <w:sz w:val="20"/>
          <w:szCs w:val="20"/>
        </w:rPr>
      </w:pPr>
      <w:r>
        <w:rPr>
          <w:sz w:val="20"/>
        </w:rPr>
        <w:t xml:space="preserve">Servidor.  </w:t>
      </w:r>
      <w:r>
        <w:rPr>
          <w:b w:val="0"/>
          <w:sz w:val="20"/>
        </w:rPr>
        <w:t>Um servidor é um sistema de hardware físico capaz de executar softwares para servidores.  Uma partição de hardware ou um blade é considerado um sistema de hardware físico separado.</w:t>
      </w:r>
    </w:p>
    <w:p w:rsidR="00B67FDB" w:rsidRPr="00D814D9" w:rsidRDefault="005F7C07" w:rsidP="007E2ECA">
      <w:pPr>
        <w:pStyle w:val="Heading3Bold"/>
        <w:numPr>
          <w:ilvl w:val="2"/>
          <w:numId w:val="15"/>
        </w:numPr>
        <w:tabs>
          <w:tab w:val="clear" w:pos="1077"/>
          <w:tab w:val="num" w:pos="1080"/>
        </w:tabs>
        <w:ind w:left="1080"/>
        <w:rPr>
          <w:b w:val="0"/>
          <w:bCs w:val="0"/>
          <w:sz w:val="20"/>
          <w:szCs w:val="20"/>
        </w:rPr>
      </w:pPr>
      <w:r>
        <w:rPr>
          <w:sz w:val="20"/>
        </w:rPr>
        <w:t xml:space="preserve">Cessão de uma Licença.  </w:t>
      </w:r>
      <w:r>
        <w:rPr>
          <w:b w:val="0"/>
          <w:sz w:val="20"/>
        </w:rPr>
        <w:t>Ceder uma licença significa simplesmente designá-la a um dispositivo ou usuário.</w:t>
      </w:r>
    </w:p>
    <w:p w:rsidR="003C2DE9" w:rsidRPr="00D814D9" w:rsidRDefault="005F7C07" w:rsidP="00CC50E7">
      <w:pPr>
        <w:pStyle w:val="Heading1"/>
        <w:keepNext/>
        <w:ind w:left="360" w:hanging="360"/>
        <w:rPr>
          <w:sz w:val="20"/>
          <w:szCs w:val="20"/>
        </w:rPr>
      </w:pPr>
      <w:r>
        <w:rPr>
          <w:sz w:val="20"/>
        </w:rPr>
        <w:t>DIREITOS DE USO.</w:t>
      </w:r>
    </w:p>
    <w:p w:rsidR="003C2DE9" w:rsidRPr="00D814D9" w:rsidRDefault="000D3B46" w:rsidP="00CC50E7">
      <w:pPr>
        <w:pStyle w:val="Heading2"/>
        <w:tabs>
          <w:tab w:val="clear" w:pos="993"/>
          <w:tab w:val="num" w:pos="720"/>
        </w:tabs>
        <w:ind w:left="720" w:hanging="360"/>
        <w:rPr>
          <w:sz w:val="20"/>
          <w:szCs w:val="20"/>
        </w:rPr>
      </w:pPr>
      <w:r>
        <w:rPr>
          <w:sz w:val="20"/>
        </w:rPr>
        <w:t>Servidor Licenciado.</w:t>
      </w:r>
    </w:p>
    <w:p w:rsidR="0014406D" w:rsidRPr="00D814D9" w:rsidRDefault="000D3B46" w:rsidP="00CC50E7">
      <w:pPr>
        <w:pStyle w:val="Heading3"/>
        <w:tabs>
          <w:tab w:val="num" w:pos="1077"/>
        </w:tabs>
        <w:rPr>
          <w:sz w:val="20"/>
          <w:szCs w:val="20"/>
        </w:rPr>
      </w:pPr>
      <w:r>
        <w:rPr>
          <w:sz w:val="20"/>
        </w:rPr>
        <w:t>Um servidor licenciado significa o único servidor ao qual a licença está cedida.</w:t>
      </w:r>
    </w:p>
    <w:p w:rsidR="003C2DE9" w:rsidRPr="00D814D9" w:rsidRDefault="005F7C07" w:rsidP="00CC50E7">
      <w:pPr>
        <w:pStyle w:val="Heading3"/>
        <w:tabs>
          <w:tab w:val="num" w:pos="1077"/>
        </w:tabs>
        <w:rPr>
          <w:sz w:val="20"/>
          <w:szCs w:val="20"/>
        </w:rPr>
      </w:pPr>
      <w:r>
        <w:rPr>
          <w:sz w:val="20"/>
        </w:rPr>
        <w:t xml:space="preserve">Você pode realocar uma licença de servidor de software, mas não antes de 90 dias da última transferência.  Será possível transferir uma licença de servidor antes desse prazo se você desativar o servidor licenciado em decorrência de uma falha permanente de hardware.  Se </w:t>
      </w:r>
      <w:r>
        <w:rPr>
          <w:sz w:val="20"/>
        </w:rPr>
        <w:lastRenderedPageBreak/>
        <w:t>você ceder uma licença, deverá remover o software do servidor anterior.  O servidor ao qual a licença for cedida se tornará o novo servidor licenciado para essa licença.</w:t>
      </w:r>
    </w:p>
    <w:p w:rsidR="003C2DE9" w:rsidRPr="00D814D9" w:rsidRDefault="005F7C07" w:rsidP="00CC50E7">
      <w:pPr>
        <w:pStyle w:val="Heading2"/>
        <w:tabs>
          <w:tab w:val="clear" w:pos="993"/>
          <w:tab w:val="num" w:pos="720"/>
        </w:tabs>
        <w:ind w:left="720" w:hanging="360"/>
        <w:rPr>
          <w:sz w:val="20"/>
          <w:szCs w:val="20"/>
        </w:rPr>
      </w:pPr>
      <w:r>
        <w:rPr>
          <w:sz w:val="20"/>
        </w:rPr>
        <w:t xml:space="preserve">Execução de Instâncias do Software de Servidores.  </w:t>
      </w:r>
      <w:r>
        <w:rPr>
          <w:b w:val="0"/>
          <w:sz w:val="20"/>
        </w:rPr>
        <w:t xml:space="preserve">Para cada licença de servidor, você pode usar, a qualquer momento, uma instância do software para servidores no servidor licenciado em um ambiente de sistema operacional físico ou virtual no servidor licenciado.  </w:t>
      </w:r>
    </w:p>
    <w:p w:rsidR="00EE6F16" w:rsidRPr="00D814D9" w:rsidRDefault="005F7C07" w:rsidP="00CC50E7">
      <w:pPr>
        <w:pStyle w:val="Heading2"/>
        <w:tabs>
          <w:tab w:val="clear" w:pos="993"/>
          <w:tab w:val="num" w:pos="720"/>
        </w:tabs>
        <w:ind w:left="720" w:hanging="360"/>
        <w:rPr>
          <w:b w:val="0"/>
          <w:bCs w:val="0"/>
          <w:sz w:val="20"/>
          <w:szCs w:val="20"/>
        </w:rPr>
      </w:pPr>
      <w:r>
        <w:rPr>
          <w:sz w:val="20"/>
        </w:rPr>
        <w:t xml:space="preserve">Executando Instâncias dos Softwares Adicionais.  </w:t>
      </w:r>
      <w:r>
        <w:rPr>
          <w:b w:val="0"/>
          <w:sz w:val="20"/>
        </w:rPr>
        <w:t xml:space="preserve">Você pode executar ou usar qualquer quantidade de instâncias dos softwares adicionais listados abaixo, em ambientes de sistema operacional físico ou virtual, em quantos dispositivos quiser.  Você só pode usar softwares adicionais diretamente com o software para servidores ou indiretamente por meio de outro software adicional. </w:t>
      </w:r>
    </w:p>
    <w:p w:rsidR="005912D8" w:rsidRPr="00D814D9" w:rsidRDefault="009F27AF" w:rsidP="00356513">
      <w:pPr>
        <w:pStyle w:val="Bullet3"/>
        <w:numPr>
          <w:ilvl w:val="0"/>
          <w:numId w:val="23"/>
        </w:numPr>
        <w:rPr>
          <w:sz w:val="20"/>
          <w:szCs w:val="20"/>
        </w:rPr>
      </w:pPr>
      <w:r>
        <w:rPr>
          <w:sz w:val="20"/>
        </w:rPr>
        <w:t>Visual Studio Team Foundation Build Services</w:t>
      </w:r>
    </w:p>
    <w:p w:rsidR="00D769E6" w:rsidRPr="00D814D9" w:rsidRDefault="005F7C07" w:rsidP="00057836">
      <w:pPr>
        <w:pStyle w:val="Heading2"/>
        <w:tabs>
          <w:tab w:val="clear" w:pos="993"/>
          <w:tab w:val="num" w:pos="720"/>
        </w:tabs>
        <w:ind w:left="720" w:hanging="360"/>
        <w:rPr>
          <w:b w:val="0"/>
          <w:bCs w:val="0"/>
          <w:sz w:val="20"/>
          <w:szCs w:val="20"/>
        </w:rPr>
      </w:pPr>
      <w:r>
        <w:rPr>
          <w:sz w:val="20"/>
        </w:rPr>
        <w:t xml:space="preserve">Criação e Armazenamento de Instâncias nos Servidores ou na Mídia de Armazenamento.  </w:t>
      </w:r>
      <w:r>
        <w:rPr>
          <w:b w:val="0"/>
          <w:sz w:val="20"/>
        </w:rPr>
        <w:t>Para cada licença de software adquirida, você pode criar e armazenar qualquer número de instâncias do software em qualquer um de seus servidores ou mídia de armazenamento.  Isso pode ser feito exclusivamente para exercer seu direito de executar instâncias do software de acordo com suas licenças nos direitos de uso aplicáveis, conforme descrito (por exemplo, você não pode distribuir instâncias a terceiros).</w:t>
      </w:r>
    </w:p>
    <w:p w:rsidR="003C2DE9" w:rsidRPr="00D814D9" w:rsidRDefault="005F7C07" w:rsidP="00057836">
      <w:pPr>
        <w:pStyle w:val="Heading2"/>
        <w:tabs>
          <w:tab w:val="clear" w:pos="993"/>
          <w:tab w:val="num" w:pos="720"/>
        </w:tabs>
        <w:ind w:left="720" w:hanging="360"/>
        <w:rPr>
          <w:sz w:val="20"/>
          <w:szCs w:val="20"/>
        </w:rPr>
      </w:pPr>
      <w:r>
        <w:rPr>
          <w:sz w:val="20"/>
        </w:rPr>
        <w:t xml:space="preserve">Aplicativos da Microsoft Incluídos.  </w:t>
      </w:r>
      <w:r>
        <w:rPr>
          <w:b w:val="0"/>
          <w:sz w:val="20"/>
        </w:rPr>
        <w:t>O software contém outros aplicativos da Microsoft.  Estes termos de licença se aplicam ao uso que você faz desses aplicativos, exceto para aqueles aplicativos da Microsoft identificados na Seção 5, que são regidos por seus próprios termos de licença.</w:t>
      </w:r>
    </w:p>
    <w:p w:rsidR="0082164C" w:rsidRPr="00D814D9" w:rsidRDefault="0082164C" w:rsidP="0082164C">
      <w:pPr>
        <w:pStyle w:val="Heading2"/>
        <w:widowControl w:val="0"/>
        <w:tabs>
          <w:tab w:val="clear" w:pos="993"/>
          <w:tab w:val="num" w:pos="720"/>
          <w:tab w:val="num" w:pos="1080"/>
        </w:tabs>
        <w:ind w:left="720" w:hanging="360"/>
        <w:rPr>
          <w:rFonts w:eastAsia="SimSun"/>
          <w:b w:val="0"/>
          <w:bCs w:val="0"/>
          <w:sz w:val="20"/>
          <w:szCs w:val="20"/>
        </w:rPr>
      </w:pPr>
      <w:r>
        <w:rPr>
          <w:sz w:val="20"/>
        </w:rPr>
        <w:t xml:space="preserve">Componentes de terceiros.  </w:t>
      </w:r>
      <w:r>
        <w:rPr>
          <w:b w:val="0"/>
          <w:sz w:val="20"/>
        </w:rPr>
        <w:t xml:space="preserve">O software pode incluir componentes de terceiros com notificações legais separadas ou regidas por outros contratos, conforme descrito nos arquivos ThirdPartyNotices que acompanham o software.  </w:t>
      </w:r>
    </w:p>
    <w:p w:rsidR="003C2DE9" w:rsidRPr="00D814D9" w:rsidRDefault="005F7C07" w:rsidP="00057836">
      <w:pPr>
        <w:pStyle w:val="Heading1"/>
        <w:keepNext/>
        <w:ind w:left="360" w:hanging="360"/>
        <w:rPr>
          <w:sz w:val="20"/>
          <w:szCs w:val="20"/>
        </w:rPr>
      </w:pPr>
      <w:r>
        <w:rPr>
          <w:sz w:val="20"/>
        </w:rPr>
        <w:t>REQUISITOS DE LICENCIAMENTO E/OU DIREITOS DE USO ADICIONAIS.</w:t>
      </w:r>
    </w:p>
    <w:p w:rsidR="003C2DE9" w:rsidRPr="00D814D9" w:rsidRDefault="005F7C07" w:rsidP="00057836">
      <w:pPr>
        <w:pStyle w:val="Heading2"/>
        <w:keepNext/>
        <w:tabs>
          <w:tab w:val="clear" w:pos="993"/>
          <w:tab w:val="num" w:pos="720"/>
        </w:tabs>
        <w:ind w:left="720" w:hanging="360"/>
        <w:rPr>
          <w:sz w:val="20"/>
          <w:szCs w:val="20"/>
        </w:rPr>
      </w:pPr>
      <w:r>
        <w:rPr>
          <w:sz w:val="20"/>
        </w:rPr>
        <w:t>Licenças de Acesso para Clientes (CALs).</w:t>
      </w:r>
      <w:r>
        <w:rPr>
          <w:b w:val="0"/>
          <w:sz w:val="20"/>
        </w:rPr>
        <w:t xml:space="preserve">  Exceto conforme descrito aqui, todo o acesso ao software para servidores requer CALs.  Você deve ceder cada CAL a um usuário ou dispositivo.  As CALs não são exigidas para:</w:t>
      </w:r>
    </w:p>
    <w:p w:rsidR="003C2DE9" w:rsidRPr="00D814D9" w:rsidRDefault="007C46AC" w:rsidP="00057836">
      <w:pPr>
        <w:pStyle w:val="Bullet4"/>
        <w:tabs>
          <w:tab w:val="clear" w:pos="1437"/>
          <w:tab w:val="num" w:pos="1080"/>
        </w:tabs>
        <w:ind w:left="1080" w:hanging="360"/>
        <w:rPr>
          <w:sz w:val="20"/>
          <w:szCs w:val="20"/>
        </w:rPr>
      </w:pPr>
      <w:r>
        <w:rPr>
          <w:sz w:val="20"/>
        </w:rPr>
        <w:t>acesso por outro Servidor Licenciado ou</w:t>
      </w:r>
    </w:p>
    <w:p w:rsidR="00BA4FCD" w:rsidRPr="00D814D9" w:rsidRDefault="005F7C07" w:rsidP="00057836">
      <w:pPr>
        <w:pStyle w:val="Bullet4"/>
        <w:tabs>
          <w:tab w:val="clear" w:pos="1437"/>
          <w:tab w:val="num" w:pos="1080"/>
        </w:tabs>
        <w:ind w:left="1080" w:hanging="360"/>
        <w:rPr>
          <w:sz w:val="20"/>
          <w:szCs w:val="20"/>
        </w:rPr>
      </w:pPr>
      <w:r>
        <w:rPr>
          <w:sz w:val="20"/>
        </w:rPr>
        <w:t>até dois usuários ou dispositivos para administrar o software.</w:t>
      </w:r>
    </w:p>
    <w:p w:rsidR="008B728C" w:rsidRPr="00D814D9" w:rsidRDefault="005F7C07" w:rsidP="00057836">
      <w:pPr>
        <w:pStyle w:val="Bullet4"/>
        <w:numPr>
          <w:ilvl w:val="0"/>
          <w:numId w:val="0"/>
        </w:numPr>
        <w:ind w:left="720"/>
        <w:rPr>
          <w:sz w:val="20"/>
          <w:szCs w:val="20"/>
        </w:rPr>
      </w:pPr>
      <w:r>
        <w:rPr>
          <w:sz w:val="20"/>
        </w:rPr>
        <w:t>As CALs permitem acesso à versão correspondente (inclusive versões anteriores usadas sob os direitos de downgrade) ou versões anteriores do software para servidores.  Se você estiver acessando instâncias de uma versão anterior, também poderá usar CALs correspondentes a essa versão.</w:t>
      </w:r>
    </w:p>
    <w:p w:rsidR="003C2DE9" w:rsidRPr="00385A5C" w:rsidRDefault="00BB4843" w:rsidP="00057836">
      <w:pPr>
        <w:pStyle w:val="Bullet4"/>
        <w:numPr>
          <w:ilvl w:val="0"/>
          <w:numId w:val="0"/>
        </w:numPr>
        <w:ind w:left="720"/>
        <w:rPr>
          <w:sz w:val="20"/>
          <w:szCs w:val="20"/>
        </w:rPr>
      </w:pPr>
      <w:r>
        <w:rPr>
          <w:sz w:val="20"/>
        </w:rPr>
        <w:t>Há dois tipos de CALs: uma para dispositivos e uma para usuários.  Cada CAL do dispositivo permite que um dispositivo, usado por qualquer usuário, acesse instâncias do software de servidor nos servidores licenciados.  Cada CAL de usuário permite que um usuário, usando qualquer dispositivo, acesse instâncias do software para servidores nos servidores licenciados.  Você pode usar uma combinação de CALs de dispositivo e de usuário. Suas CALs só permitem o acesso a seu servidor licenciado (não de um terceiro).</w:t>
      </w:r>
    </w:p>
    <w:p w:rsidR="00D40637" w:rsidRPr="00385A5C" w:rsidRDefault="00D40637" w:rsidP="00654356">
      <w:pPr>
        <w:pStyle w:val="Heading2"/>
        <w:tabs>
          <w:tab w:val="clear" w:pos="993"/>
          <w:tab w:val="num" w:pos="720"/>
        </w:tabs>
        <w:ind w:left="720" w:hanging="360"/>
        <w:rPr>
          <w:sz w:val="20"/>
          <w:szCs w:val="20"/>
        </w:rPr>
      </w:pPr>
      <w:r>
        <w:rPr>
          <w:sz w:val="20"/>
        </w:rPr>
        <w:t xml:space="preserve">Usuários Iniciais. </w:t>
      </w:r>
      <w:r>
        <w:rPr>
          <w:b w:val="0"/>
          <w:sz w:val="20"/>
        </w:rPr>
        <w:t>Até cinco usuários poderão se conectar a uma instância do software para servidores sem necessidade de CAL.  O sexto e demais usuários adicionais necessitam de uma CAL para acessar o software para servidores.</w:t>
      </w:r>
    </w:p>
    <w:p w:rsidR="0093564D" w:rsidRPr="00385A5C" w:rsidRDefault="0002605D" w:rsidP="00654356">
      <w:pPr>
        <w:pStyle w:val="Heading2"/>
        <w:tabs>
          <w:tab w:val="clear" w:pos="993"/>
          <w:tab w:val="num" w:pos="720"/>
        </w:tabs>
        <w:ind w:left="720" w:hanging="360"/>
        <w:rPr>
          <w:sz w:val="20"/>
          <w:szCs w:val="20"/>
        </w:rPr>
      </w:pPr>
      <w:r>
        <w:rPr>
          <w:sz w:val="20"/>
        </w:rPr>
        <w:t xml:space="preserve">Uso que não Requer uma Licença de Acesso para Cliente.  </w:t>
      </w:r>
      <w:r>
        <w:rPr>
          <w:b w:val="0"/>
          <w:sz w:val="20"/>
        </w:rPr>
        <w:t>Uma CAL não é exigida:</w:t>
      </w:r>
    </w:p>
    <w:p w:rsidR="0093564D" w:rsidRPr="00385A5C" w:rsidRDefault="00317891" w:rsidP="005436C2">
      <w:pPr>
        <w:pStyle w:val="Bullet4"/>
        <w:tabs>
          <w:tab w:val="clear" w:pos="1437"/>
          <w:tab w:val="num" w:pos="1080"/>
        </w:tabs>
        <w:ind w:left="1080" w:hanging="360"/>
        <w:rPr>
          <w:sz w:val="20"/>
          <w:szCs w:val="20"/>
        </w:rPr>
      </w:pPr>
      <w:r>
        <w:rPr>
          <w:sz w:val="20"/>
        </w:rPr>
        <w:t>para visualizar, editar nem inserir itens de trabalho;</w:t>
      </w:r>
    </w:p>
    <w:p w:rsidR="00317891" w:rsidRPr="00385A5C" w:rsidRDefault="00317891" w:rsidP="005436C2">
      <w:pPr>
        <w:pStyle w:val="Bullet4"/>
        <w:tabs>
          <w:tab w:val="clear" w:pos="1437"/>
          <w:tab w:val="num" w:pos="1080"/>
        </w:tabs>
        <w:ind w:left="1080" w:hanging="360"/>
        <w:rPr>
          <w:sz w:val="20"/>
          <w:szCs w:val="20"/>
        </w:rPr>
      </w:pPr>
      <w:r>
        <w:rPr>
          <w:sz w:val="20"/>
        </w:rPr>
        <w:lastRenderedPageBreak/>
        <w:t>para acessar o Team Foundation Server Reporting;</w:t>
      </w:r>
    </w:p>
    <w:p w:rsidR="0093564D" w:rsidRPr="00385A5C" w:rsidRDefault="0093564D" w:rsidP="005436C2">
      <w:pPr>
        <w:pStyle w:val="Bullet4"/>
        <w:tabs>
          <w:tab w:val="clear" w:pos="1437"/>
          <w:tab w:val="num" w:pos="1080"/>
        </w:tabs>
        <w:ind w:left="1080" w:hanging="360"/>
        <w:rPr>
          <w:sz w:val="20"/>
          <w:szCs w:val="20"/>
        </w:rPr>
      </w:pPr>
      <w:r>
        <w:rPr>
          <w:sz w:val="20"/>
        </w:rPr>
        <w:t>para acessar o Visual Studio Team Services pelo Team Foundation Server 2017 Proxy;</w:t>
      </w:r>
    </w:p>
    <w:p w:rsidR="00907F9A" w:rsidRPr="00385A5C" w:rsidRDefault="00317891" w:rsidP="005436C2">
      <w:pPr>
        <w:pStyle w:val="Bullet4"/>
        <w:tabs>
          <w:tab w:val="clear" w:pos="1437"/>
          <w:tab w:val="num" w:pos="1080"/>
        </w:tabs>
        <w:ind w:left="1080" w:hanging="360"/>
        <w:rPr>
          <w:sz w:val="20"/>
          <w:szCs w:val="20"/>
        </w:rPr>
      </w:pPr>
      <w:r>
        <w:rPr>
          <w:sz w:val="20"/>
        </w:rPr>
        <w:t xml:space="preserve">para fornecer aprovações para estágios como parte do pipeline Release Management; </w:t>
      </w:r>
    </w:p>
    <w:p w:rsidR="003A17C4" w:rsidRDefault="009B7E14" w:rsidP="003A17C4">
      <w:pPr>
        <w:pStyle w:val="Bullet4"/>
        <w:tabs>
          <w:tab w:val="clear" w:pos="1437"/>
          <w:tab w:val="num" w:pos="1080"/>
        </w:tabs>
        <w:ind w:left="1080" w:hanging="360"/>
        <w:rPr>
          <w:sz w:val="20"/>
          <w:szCs w:val="20"/>
        </w:rPr>
      </w:pPr>
      <w:r>
        <w:rPr>
          <w:sz w:val="20"/>
        </w:rPr>
        <w:t>para acessar o Visual Studio Team Foundation Server por meio de uma conexão em conjunto a partir de outro serviço ou aplicativo integrado; ou</w:t>
      </w:r>
    </w:p>
    <w:p w:rsidR="009B7E14" w:rsidRPr="003A17C4" w:rsidRDefault="003A17C4" w:rsidP="003A17C4">
      <w:pPr>
        <w:pStyle w:val="Bullet4"/>
        <w:tabs>
          <w:tab w:val="clear" w:pos="1437"/>
          <w:tab w:val="num" w:pos="1080"/>
        </w:tabs>
        <w:ind w:left="1080" w:hanging="360"/>
        <w:rPr>
          <w:sz w:val="20"/>
          <w:szCs w:val="20"/>
        </w:rPr>
      </w:pPr>
      <w:r>
        <w:rPr>
          <w:sz w:val="20"/>
        </w:rPr>
        <w:t>para usuários pagos no Visual Studio Team Services</w:t>
      </w:r>
    </w:p>
    <w:p w:rsidR="005774AA" w:rsidRPr="00385A5C" w:rsidRDefault="005774AA" w:rsidP="002A52B9">
      <w:pPr>
        <w:pStyle w:val="Heading2"/>
        <w:keepNext/>
        <w:tabs>
          <w:tab w:val="clear" w:pos="993"/>
          <w:tab w:val="num" w:pos="720"/>
        </w:tabs>
        <w:ind w:left="720" w:hanging="360"/>
        <w:rPr>
          <w:b w:val="0"/>
          <w:sz w:val="20"/>
          <w:szCs w:val="20"/>
        </w:rPr>
      </w:pPr>
      <w:r>
        <w:rPr>
          <w:sz w:val="20"/>
        </w:rPr>
        <w:t>Visual Studio Team Foundation Server Build Services.</w:t>
      </w:r>
      <w:r>
        <w:rPr>
          <w:b w:val="0"/>
          <w:sz w:val="20"/>
        </w:rPr>
        <w:t xml:space="preserve">  Se você tiver um ou mais Usuários Licenciados do Visual Studio Enterprise com MSDN, Visual Studio Professional com MSDN ou qualquer sucessor ao exposto anteriormente, você também poderá instalar o software Visual Studio e permitir o acesso e uso dele como parte do Team Foundation Server 2017 Build Services por seus usuários licenciados e dispositivos licenciados do software.</w:t>
      </w:r>
    </w:p>
    <w:p w:rsidR="003C2DE9" w:rsidRPr="00385A5C" w:rsidRDefault="005F7C07" w:rsidP="00057836">
      <w:pPr>
        <w:pStyle w:val="Heading2"/>
        <w:keepNext/>
        <w:tabs>
          <w:tab w:val="clear" w:pos="993"/>
          <w:tab w:val="num" w:pos="720"/>
        </w:tabs>
        <w:ind w:left="720" w:hanging="360"/>
        <w:rPr>
          <w:b w:val="0"/>
          <w:bCs w:val="0"/>
          <w:sz w:val="20"/>
          <w:szCs w:val="20"/>
        </w:rPr>
      </w:pPr>
      <w:r>
        <w:rPr>
          <w:sz w:val="20"/>
        </w:rPr>
        <w:t xml:space="preserve">Consignação de CALs.  </w:t>
      </w:r>
      <w:r>
        <w:rPr>
          <w:b w:val="0"/>
          <w:sz w:val="20"/>
        </w:rPr>
        <w:t>É permitido</w:t>
      </w:r>
    </w:p>
    <w:p w:rsidR="003C2DE9" w:rsidRPr="00385A5C" w:rsidRDefault="005F7C07" w:rsidP="00057836">
      <w:pPr>
        <w:pStyle w:val="Bullet4"/>
        <w:tabs>
          <w:tab w:val="clear" w:pos="1437"/>
          <w:tab w:val="num" w:pos="1080"/>
        </w:tabs>
        <w:ind w:left="1080" w:hanging="360"/>
        <w:rPr>
          <w:sz w:val="20"/>
          <w:szCs w:val="20"/>
        </w:rPr>
      </w:pPr>
      <w:r>
        <w:rPr>
          <w:sz w:val="20"/>
        </w:rPr>
        <w:t>ceder, de forma permanente, sua CAL de dispositivo de um dispositivo para outro ou uma CAL de usuário de um usuário para outro ou</w:t>
      </w:r>
    </w:p>
    <w:p w:rsidR="003C2DE9" w:rsidRPr="00385A5C" w:rsidRDefault="005F7C07" w:rsidP="00057836">
      <w:pPr>
        <w:pStyle w:val="Bullet4"/>
        <w:tabs>
          <w:tab w:val="clear" w:pos="1437"/>
          <w:tab w:val="num" w:pos="1080"/>
        </w:tabs>
        <w:ind w:left="1080" w:hanging="360"/>
        <w:rPr>
          <w:sz w:val="20"/>
          <w:szCs w:val="20"/>
        </w:rPr>
      </w:pPr>
      <w:r>
        <w:rPr>
          <w:sz w:val="20"/>
        </w:rPr>
        <w:t>ceder temporariamente (em curto prazo) uma CAL de dispositivo de um dispositivo para outro para cobrir uma indisponibilidade de um dispositivo que está fora de serviço ou de uma CAL de usuário de um usuário para outro para cobrir a ausência de um usuário.  Enquanto a cessão em curto prazo e temporária é permitida para CALs, a cessão dessas licenças para qualquer outro fim ou período deverá ser permanente.  Isso significa que, se você ceder uma licença do dispositivo A para o dispositivo B, não poderá novamente ceder essa licença do dispositivo V para o dispositivo A [exceto conforme permitido como uma cessão temporária].</w:t>
      </w:r>
    </w:p>
    <w:p w:rsidR="00D53580" w:rsidRPr="00385A5C" w:rsidRDefault="00E078FC" w:rsidP="00D53580">
      <w:pPr>
        <w:pStyle w:val="Heading2"/>
        <w:keepNext/>
        <w:tabs>
          <w:tab w:val="clear" w:pos="993"/>
          <w:tab w:val="num" w:pos="720"/>
        </w:tabs>
        <w:ind w:left="720" w:hanging="360"/>
        <w:rPr>
          <w:sz w:val="20"/>
          <w:szCs w:val="20"/>
        </w:rPr>
      </w:pPr>
      <w:bookmarkStart w:id="1" w:name="_Hlk493857328"/>
      <w:bookmarkStart w:id="2" w:name="_Ref324604863"/>
      <w:r>
        <w:rPr>
          <w:sz w:val="20"/>
        </w:rPr>
        <w:t xml:space="preserve">Licenças Adicionais Obrigatórias.  </w:t>
      </w:r>
      <w:r>
        <w:rPr>
          <w:b w:val="0"/>
          <w:sz w:val="20"/>
        </w:rPr>
        <w:t>Para usar os recursos do software, Gerenciamento de Testes, Gerenciamento de Pacote ou Implementações Simultâneas no Gerenciamento de Versão, o usuário deve ter a licença para uma das assinaturas listadas conforme segue:</w:t>
      </w:r>
    </w:p>
    <w:p w:rsidR="00286990" w:rsidRPr="00345753" w:rsidRDefault="00A862E3" w:rsidP="006A68F8">
      <w:pPr>
        <w:pStyle w:val="Bullet4"/>
        <w:tabs>
          <w:tab w:val="clear" w:pos="1437"/>
          <w:tab w:val="num" w:pos="1080"/>
        </w:tabs>
        <w:ind w:left="1080" w:hanging="360"/>
        <w:rPr>
          <w:sz w:val="20"/>
          <w:szCs w:val="20"/>
          <w:u w:val="single"/>
        </w:rPr>
      </w:pPr>
      <w:r>
        <w:rPr>
          <w:sz w:val="20"/>
          <w:u w:val="single"/>
        </w:rPr>
        <w:t>Gerenciamento de Testes</w:t>
      </w:r>
    </w:p>
    <w:bookmarkEnd w:id="1"/>
    <w:p w:rsidR="00A22FCC" w:rsidRPr="00385A5C" w:rsidRDefault="00E078FC" w:rsidP="00345753">
      <w:pPr>
        <w:pStyle w:val="Heading2"/>
        <w:widowControl w:val="0"/>
        <w:numPr>
          <w:ilvl w:val="0"/>
          <w:numId w:val="0"/>
        </w:numPr>
        <w:ind w:left="1080"/>
        <w:rPr>
          <w:sz w:val="20"/>
          <w:szCs w:val="20"/>
        </w:rPr>
      </w:pPr>
      <w:r>
        <w:rPr>
          <w:b w:val="0"/>
          <w:sz w:val="20"/>
        </w:rPr>
        <w:t xml:space="preserve">Visual Studio Enterprise Subscription </w:t>
      </w:r>
    </w:p>
    <w:p w:rsidR="00A22FCC" w:rsidRPr="00385A5C" w:rsidRDefault="00C31D7A" w:rsidP="00345753">
      <w:pPr>
        <w:pStyle w:val="Heading2"/>
        <w:widowControl w:val="0"/>
        <w:numPr>
          <w:ilvl w:val="0"/>
          <w:numId w:val="0"/>
        </w:numPr>
        <w:ind w:left="1080"/>
        <w:rPr>
          <w:sz w:val="20"/>
          <w:szCs w:val="20"/>
        </w:rPr>
      </w:pPr>
      <w:r>
        <w:rPr>
          <w:b w:val="0"/>
          <w:sz w:val="20"/>
        </w:rPr>
        <w:t xml:space="preserve">Visual Studio Enterprise – assinatura mensal </w:t>
      </w:r>
    </w:p>
    <w:p w:rsidR="00A22FCC" w:rsidRPr="00385A5C" w:rsidRDefault="00C31D7A" w:rsidP="00345753">
      <w:pPr>
        <w:pStyle w:val="Heading2"/>
        <w:widowControl w:val="0"/>
        <w:numPr>
          <w:ilvl w:val="0"/>
          <w:numId w:val="0"/>
        </w:numPr>
        <w:ind w:left="1080"/>
        <w:rPr>
          <w:sz w:val="20"/>
          <w:szCs w:val="20"/>
        </w:rPr>
      </w:pPr>
      <w:r>
        <w:rPr>
          <w:b w:val="0"/>
          <w:sz w:val="20"/>
        </w:rPr>
        <w:t xml:space="preserve">Visual Studio Enterprise – assinatura anual  </w:t>
      </w:r>
    </w:p>
    <w:p w:rsidR="00A22FCC" w:rsidRPr="00385A5C" w:rsidRDefault="009617CD" w:rsidP="00345753">
      <w:pPr>
        <w:pStyle w:val="Heading2"/>
        <w:widowControl w:val="0"/>
        <w:numPr>
          <w:ilvl w:val="0"/>
          <w:numId w:val="0"/>
        </w:numPr>
        <w:ind w:left="1080"/>
        <w:rPr>
          <w:sz w:val="20"/>
          <w:szCs w:val="20"/>
        </w:rPr>
      </w:pPr>
      <w:r>
        <w:rPr>
          <w:b w:val="0"/>
          <w:sz w:val="20"/>
        </w:rPr>
        <w:t>Plataformas MSDN</w:t>
      </w:r>
      <w:bookmarkEnd w:id="2"/>
      <w:r>
        <w:rPr>
          <w:b w:val="0"/>
          <w:sz w:val="20"/>
        </w:rPr>
        <w:t>, ou</w:t>
      </w:r>
    </w:p>
    <w:p w:rsidR="00753122" w:rsidRDefault="003C4EF2" w:rsidP="00345753">
      <w:pPr>
        <w:pStyle w:val="Heading2"/>
        <w:widowControl w:val="0"/>
        <w:numPr>
          <w:ilvl w:val="0"/>
          <w:numId w:val="0"/>
        </w:numPr>
        <w:ind w:left="1080"/>
        <w:rPr>
          <w:b w:val="0"/>
          <w:sz w:val="20"/>
          <w:szCs w:val="20"/>
        </w:rPr>
      </w:pPr>
      <w:r>
        <w:rPr>
          <w:b w:val="0"/>
          <w:sz w:val="20"/>
        </w:rPr>
        <w:t>Um plano pago para o Visual Studio Team Services Test Manager</w:t>
      </w:r>
    </w:p>
    <w:p w:rsidR="00E92217" w:rsidRPr="00E53467" w:rsidRDefault="00E92217" w:rsidP="00E92217">
      <w:pPr>
        <w:pStyle w:val="Bullet4"/>
        <w:tabs>
          <w:tab w:val="clear" w:pos="1437"/>
          <w:tab w:val="num" w:pos="1080"/>
        </w:tabs>
        <w:ind w:left="1080" w:hanging="360"/>
        <w:rPr>
          <w:sz w:val="20"/>
          <w:szCs w:val="20"/>
          <w:u w:val="single"/>
        </w:rPr>
      </w:pPr>
      <w:r>
        <w:rPr>
          <w:sz w:val="20"/>
          <w:u w:val="single"/>
        </w:rPr>
        <w:t>Gerenciamento de Pacote</w:t>
      </w:r>
    </w:p>
    <w:p w:rsidR="00E92217" w:rsidRPr="00385A5C" w:rsidRDefault="00E92217" w:rsidP="00655210">
      <w:pPr>
        <w:pStyle w:val="Heading2"/>
        <w:widowControl w:val="0"/>
        <w:numPr>
          <w:ilvl w:val="0"/>
          <w:numId w:val="0"/>
        </w:numPr>
        <w:ind w:left="1080"/>
        <w:rPr>
          <w:sz w:val="20"/>
          <w:szCs w:val="20"/>
        </w:rPr>
      </w:pPr>
      <w:r>
        <w:rPr>
          <w:b w:val="0"/>
          <w:sz w:val="20"/>
        </w:rPr>
        <w:t xml:space="preserve">Visual Studio Enterprise Subscription </w:t>
      </w:r>
    </w:p>
    <w:p w:rsidR="00E92217" w:rsidRPr="00385A5C" w:rsidRDefault="00E92217" w:rsidP="00655210">
      <w:pPr>
        <w:pStyle w:val="Heading2"/>
        <w:widowControl w:val="0"/>
        <w:numPr>
          <w:ilvl w:val="0"/>
          <w:numId w:val="0"/>
        </w:numPr>
        <w:ind w:left="1080"/>
        <w:rPr>
          <w:sz w:val="20"/>
          <w:szCs w:val="20"/>
        </w:rPr>
      </w:pPr>
      <w:r>
        <w:rPr>
          <w:b w:val="0"/>
          <w:sz w:val="20"/>
        </w:rPr>
        <w:t xml:space="preserve">Visual Studio Enterprise – assinatura mensal </w:t>
      </w:r>
    </w:p>
    <w:p w:rsidR="00E92217" w:rsidRPr="00385A5C" w:rsidRDefault="00E92217" w:rsidP="00655210">
      <w:pPr>
        <w:pStyle w:val="Heading2"/>
        <w:widowControl w:val="0"/>
        <w:numPr>
          <w:ilvl w:val="0"/>
          <w:numId w:val="0"/>
        </w:numPr>
        <w:ind w:left="1080"/>
        <w:rPr>
          <w:sz w:val="20"/>
          <w:szCs w:val="20"/>
        </w:rPr>
      </w:pPr>
      <w:r>
        <w:rPr>
          <w:b w:val="0"/>
          <w:sz w:val="20"/>
        </w:rPr>
        <w:t xml:space="preserve">Visual Studio Enterprise – assinatura anual, ou </w:t>
      </w:r>
    </w:p>
    <w:p w:rsidR="00E92217" w:rsidRPr="007C4DF6" w:rsidRDefault="003C4EF2" w:rsidP="00655210">
      <w:pPr>
        <w:pStyle w:val="Heading2"/>
        <w:widowControl w:val="0"/>
        <w:numPr>
          <w:ilvl w:val="0"/>
          <w:numId w:val="0"/>
        </w:numPr>
        <w:ind w:left="1080"/>
        <w:rPr>
          <w:b w:val="0"/>
          <w:sz w:val="20"/>
          <w:szCs w:val="20"/>
        </w:rPr>
      </w:pPr>
      <w:r>
        <w:rPr>
          <w:b w:val="0"/>
          <w:sz w:val="20"/>
        </w:rPr>
        <w:t>Um plano pago para o Gerenciamento de Pacote Visual Studio Team Services</w:t>
      </w:r>
    </w:p>
    <w:p w:rsidR="0027754A" w:rsidRDefault="0027754A" w:rsidP="0019394B">
      <w:pPr>
        <w:pStyle w:val="Bullet4"/>
        <w:numPr>
          <w:ilvl w:val="0"/>
          <w:numId w:val="26"/>
        </w:numPr>
        <w:ind w:left="1080"/>
      </w:pPr>
      <w:r>
        <w:rPr>
          <w:u w:val="single"/>
        </w:rPr>
        <w:t>Implementações Simultâneas usando Gerenciamento de Versão</w:t>
      </w:r>
      <w:r>
        <w:t xml:space="preserve"> (</w:t>
      </w:r>
      <w:bookmarkStart w:id="3" w:name="_Hlk493857654"/>
      <w:r>
        <w:t>1 licença incluída por licença de servidor</w:t>
      </w:r>
      <w:bookmarkEnd w:id="3"/>
      <w:r>
        <w:t>)</w:t>
      </w:r>
    </w:p>
    <w:p w:rsidR="0027754A" w:rsidRPr="00385A5C" w:rsidRDefault="00E92217" w:rsidP="00655210">
      <w:pPr>
        <w:pStyle w:val="Heading2"/>
        <w:keepNext/>
        <w:numPr>
          <w:ilvl w:val="0"/>
          <w:numId w:val="0"/>
        </w:numPr>
        <w:ind w:left="720" w:firstLine="360"/>
        <w:rPr>
          <w:b w:val="0"/>
          <w:sz w:val="20"/>
          <w:szCs w:val="20"/>
        </w:rPr>
      </w:pPr>
      <w:r>
        <w:rPr>
          <w:b w:val="0"/>
          <w:sz w:val="20"/>
        </w:rPr>
        <w:t>implementações simultâneas adicionais estão incluídas nas compras de licença de:</w:t>
      </w:r>
    </w:p>
    <w:p w:rsidR="00E92217" w:rsidRPr="007C4DF6" w:rsidRDefault="0027754A" w:rsidP="00352D23">
      <w:pPr>
        <w:pStyle w:val="Heading2"/>
        <w:keepNext/>
        <w:numPr>
          <w:ilvl w:val="0"/>
          <w:numId w:val="0"/>
        </w:numPr>
        <w:ind w:left="1080"/>
        <w:rPr>
          <w:sz w:val="20"/>
          <w:szCs w:val="20"/>
        </w:rPr>
      </w:pPr>
      <w:r>
        <w:rPr>
          <w:b w:val="0"/>
          <w:sz w:val="20"/>
        </w:rPr>
        <w:t xml:space="preserve">Visual Studio Enterprise Subscription </w:t>
      </w:r>
    </w:p>
    <w:p w:rsidR="00E92217" w:rsidRPr="00385A5C" w:rsidRDefault="00E92217" w:rsidP="00352D23">
      <w:pPr>
        <w:pStyle w:val="Heading2"/>
        <w:widowControl w:val="0"/>
        <w:numPr>
          <w:ilvl w:val="0"/>
          <w:numId w:val="0"/>
        </w:numPr>
        <w:ind w:left="1080"/>
        <w:rPr>
          <w:sz w:val="20"/>
          <w:szCs w:val="20"/>
        </w:rPr>
      </w:pPr>
      <w:r>
        <w:rPr>
          <w:b w:val="0"/>
          <w:sz w:val="20"/>
        </w:rPr>
        <w:t xml:space="preserve">Visual Studio Enterprise – assinatura mensal </w:t>
      </w:r>
    </w:p>
    <w:p w:rsidR="0027754A" w:rsidRPr="00E92217" w:rsidRDefault="00E92217" w:rsidP="00352D23">
      <w:pPr>
        <w:pStyle w:val="Heading2"/>
        <w:widowControl w:val="0"/>
        <w:numPr>
          <w:ilvl w:val="0"/>
          <w:numId w:val="0"/>
        </w:numPr>
        <w:ind w:left="1080"/>
        <w:rPr>
          <w:sz w:val="20"/>
          <w:szCs w:val="20"/>
        </w:rPr>
      </w:pPr>
      <w:r>
        <w:rPr>
          <w:b w:val="0"/>
          <w:sz w:val="20"/>
        </w:rPr>
        <w:t>Visual Studio Enterprise – assinatura anual, ou</w:t>
      </w:r>
    </w:p>
    <w:p w:rsidR="0052193C" w:rsidRDefault="0027754A" w:rsidP="00E50CA2">
      <w:pPr>
        <w:ind w:left="360" w:firstLine="720"/>
      </w:pPr>
      <w:r>
        <w:lastRenderedPageBreak/>
        <w:t>Visual Studio Team Services Build &amp; Release Private Pipeline</w:t>
      </w:r>
    </w:p>
    <w:p w:rsidR="00FE0F5D" w:rsidRPr="00277C63" w:rsidRDefault="00FE0F5D" w:rsidP="00FE0F5D"/>
    <w:p w:rsidR="00923842" w:rsidRPr="0052193C" w:rsidRDefault="005F7C07" w:rsidP="00E50CA2">
      <w:pPr>
        <w:pStyle w:val="Heading2"/>
        <w:keepNext/>
        <w:tabs>
          <w:tab w:val="clear" w:pos="993"/>
          <w:tab w:val="num" w:pos="720"/>
        </w:tabs>
        <w:spacing w:before="0" w:after="0"/>
        <w:ind w:left="720" w:hanging="360"/>
        <w:rPr>
          <w:b w:val="0"/>
          <w:sz w:val="20"/>
          <w:szCs w:val="20"/>
        </w:rPr>
      </w:pPr>
      <w:r>
        <w:rPr>
          <w:sz w:val="20"/>
        </w:rPr>
        <w:t xml:space="preserve">Multiplexação.  </w:t>
      </w:r>
      <w:r>
        <w:rPr>
          <w:b w:val="0"/>
          <w:sz w:val="20"/>
        </w:rPr>
        <w:t>A multiplicação ou pooling para reduzir conexões diretas com o software não reduz o número de CALs exigidas.</w:t>
      </w:r>
    </w:p>
    <w:p w:rsidR="003C2DE9" w:rsidRPr="00385A5C" w:rsidRDefault="005F7C07" w:rsidP="00057836">
      <w:pPr>
        <w:pStyle w:val="Heading2"/>
        <w:keepNext/>
        <w:tabs>
          <w:tab w:val="clear" w:pos="993"/>
          <w:tab w:val="num" w:pos="720"/>
        </w:tabs>
        <w:ind w:left="720" w:hanging="360"/>
        <w:rPr>
          <w:sz w:val="20"/>
          <w:szCs w:val="20"/>
        </w:rPr>
      </w:pPr>
      <w:r>
        <w:rPr>
          <w:sz w:val="20"/>
        </w:rPr>
        <w:t xml:space="preserve">Impossibilidade de Separação do Software de Servidor.  </w:t>
      </w:r>
      <w:r>
        <w:rPr>
          <w:b w:val="0"/>
          <w:sz w:val="20"/>
        </w:rPr>
        <w:t>O cliente não pode separar o software para servidores para uso em mais de um ambiente de sistema operacional em uma única licença, a menos que isso seja expressamente permitido.  Isso será aplicável mesmo se os ambientes de sistema operacional estiverem no mesmo sistema de hardware físico.</w:t>
      </w:r>
    </w:p>
    <w:p w:rsidR="003C2DE9" w:rsidRPr="00385A5C" w:rsidRDefault="005F7C07" w:rsidP="00057836">
      <w:pPr>
        <w:pStyle w:val="Heading2"/>
        <w:tabs>
          <w:tab w:val="clear" w:pos="993"/>
          <w:tab w:val="num" w:pos="720"/>
        </w:tabs>
        <w:ind w:left="720" w:hanging="360"/>
        <w:rPr>
          <w:sz w:val="20"/>
          <w:szCs w:val="20"/>
        </w:rPr>
      </w:pPr>
      <w:r>
        <w:rPr>
          <w:sz w:val="20"/>
        </w:rPr>
        <w:t xml:space="preserve">Funções Adicionais.  </w:t>
      </w:r>
      <w:r>
        <w:rPr>
          <w:b w:val="0"/>
          <w:sz w:val="20"/>
        </w:rPr>
        <w:t>A Microsoft poderá oferecer outras funções no software.  Poderão ser aplicados outros termos e taxas de licença.</w:t>
      </w:r>
    </w:p>
    <w:p w:rsidR="005E66CB" w:rsidRPr="005E66CB" w:rsidRDefault="001E4979" w:rsidP="006468E6">
      <w:pPr>
        <w:pStyle w:val="Heading1"/>
        <w:keepNext/>
        <w:widowControl w:val="0"/>
        <w:ind w:left="360" w:hanging="360"/>
        <w:rPr>
          <w:rFonts w:eastAsia="SimSun"/>
          <w:sz w:val="20"/>
          <w:szCs w:val="20"/>
        </w:rPr>
      </w:pPr>
      <w:r>
        <w:rPr>
          <w:sz w:val="20"/>
        </w:rPr>
        <w:t xml:space="preserve">DADOS.  </w:t>
      </w:r>
    </w:p>
    <w:p w:rsidR="005E66CB" w:rsidRDefault="005E66CB" w:rsidP="0029381F">
      <w:pPr>
        <w:pStyle w:val="Heading2"/>
        <w:tabs>
          <w:tab w:val="clear" w:pos="993"/>
          <w:tab w:val="num" w:pos="720"/>
        </w:tabs>
        <w:ind w:left="720" w:hanging="360"/>
      </w:pPr>
      <w:r>
        <w:t xml:space="preserve">Coleta de Dados. </w:t>
      </w:r>
      <w:r>
        <w:rPr>
          <w:b w:val="0"/>
        </w:rPr>
        <w:t>O software pode coletar informações sobre você e o uso que você faz do software e as envia para a Microsoft. A Microsoft pode usar essas informações para fornecer serviços e aprimorar nossos produtos e serviços. Você pode recusar muitos dos seus cenários, mas não todos, conforme descrito na documentação do produto.  Também há a</w:t>
      </w:r>
      <w:r>
        <w:rPr>
          <w:b w:val="0"/>
          <w:color w:val="000000"/>
        </w:rPr>
        <w:t>lguns recursos no software que podem permitir que você e a Microsoft coletem dados dos usuários de seus aplicativos</w:t>
      </w:r>
      <w:r>
        <w:rPr>
          <w:b w:val="0"/>
        </w:rPr>
        <w:t xml:space="preserve">. Se você usar esses recursos, deverá cumprir a lei aplicável, inclusive fornecendo notificações apropriadas aos usuários de seus aplicativos e deverá fornecer uma cópia da nossa política de privacidade para seus usuários. Nossa política de privacidade está localizada aqui </w:t>
      </w:r>
      <w:hyperlink r:id="rId13">
        <w:r>
          <w:rPr>
            <w:b w:val="0"/>
          </w:rPr>
          <w:t>https://go.microsoft.com/fwlink/?LinkId=398505</w:t>
        </w:r>
      </w:hyperlink>
      <w:r>
        <w:t>.</w:t>
      </w:r>
      <w:r>
        <w:rPr>
          <w:b w:val="0"/>
        </w:rPr>
        <w:t xml:space="preserve"> Você pode saber mais sobre a coleta de dados e o uso na documentação de ajuda e na nossa política de privacidade. Usar o software significa que você autoriza essas práticas.</w:t>
      </w:r>
      <w:r>
        <w:t xml:space="preserve"> </w:t>
      </w:r>
    </w:p>
    <w:p w:rsidR="005E66CB" w:rsidRPr="00BE6F4D" w:rsidRDefault="005E66CB" w:rsidP="00BE6F4D">
      <w:pPr>
        <w:pStyle w:val="Heading2"/>
        <w:tabs>
          <w:tab w:val="clear" w:pos="993"/>
          <w:tab w:val="num" w:pos="720"/>
        </w:tabs>
        <w:ind w:left="720" w:hanging="360"/>
        <w:rPr>
          <w:b w:val="0"/>
        </w:rPr>
      </w:pPr>
      <w:r>
        <w:t xml:space="preserve">Processamento de Dados Pessoais. </w:t>
      </w:r>
      <w:r>
        <w:rPr>
          <w:b w:val="0"/>
        </w:rPr>
        <w:t xml:space="preserve">Visto que a Microsoft é uma processadora ou subprocessadora de dados pessoais relativos ao software, a Microsoft torna o compromisso assumido no Regulamento Geral sobre a Proteção de Dados da União Europeia dos Termos de Serviço Online vinculativo para todos os clientes a partir de 25 de maio de 2018, em </w:t>
      </w:r>
      <w:hyperlink r:id="rId14">
        <w:r>
          <w:rPr>
            <w:rStyle w:val="Hyperlink"/>
            <w:b w:val="0"/>
          </w:rPr>
          <w:t>http://go.microsoft.com/?linkid=9840733</w:t>
        </w:r>
      </w:hyperlink>
      <w:r>
        <w:rPr>
          <w:b w:val="0"/>
        </w:rPr>
        <w:t>.</w:t>
      </w:r>
    </w:p>
    <w:p w:rsidR="00BC387F" w:rsidRPr="00385A5C" w:rsidRDefault="00BC387F" w:rsidP="00057836">
      <w:pPr>
        <w:pStyle w:val="Heading1"/>
        <w:rPr>
          <w:sz w:val="20"/>
          <w:szCs w:val="20"/>
        </w:rPr>
      </w:pPr>
      <w:bookmarkStart w:id="4" w:name="_Ref324605389"/>
      <w:r>
        <w:rPr>
          <w:sz w:val="20"/>
        </w:rPr>
        <w:t>PRODUTOS ADICIONAIS DA MICROSOFT</w:t>
      </w:r>
      <w:bookmarkEnd w:id="4"/>
    </w:p>
    <w:p w:rsidR="00606AF2" w:rsidRDefault="00AA3347" w:rsidP="00553D0E">
      <w:pPr>
        <w:pStyle w:val="Heading2"/>
        <w:tabs>
          <w:tab w:val="clear" w:pos="993"/>
          <w:tab w:val="num" w:pos="720"/>
        </w:tabs>
        <w:ind w:left="720" w:hanging="360"/>
        <w:rPr>
          <w:b w:val="0"/>
          <w:sz w:val="20"/>
          <w:szCs w:val="20"/>
        </w:rPr>
      </w:pPr>
      <w:r>
        <w:rPr>
          <w:sz w:val="20"/>
        </w:rPr>
        <w:t>Plataformas da Microsoft.</w:t>
      </w:r>
      <w:r>
        <w:rPr>
          <w:b w:val="0"/>
          <w:sz w:val="20"/>
        </w:rPr>
        <w:t xml:space="preserve"> O software pode incluir componentes do Microsoft Windows; Microsoft Windows Server; Microsoft SQL Server; Microsoft Exchange; Microsoft Office e Microsoft SharePoint. Esses componentes são regidos por contratos separados e suas próprias políticas de suporte do produto, conforme descrito</w:t>
      </w:r>
      <w:r>
        <w:rPr>
          <w:b w:val="0"/>
          <w:color w:val="002060"/>
          <w:sz w:val="20"/>
        </w:rPr>
        <w:t xml:space="preserve"> </w:t>
      </w:r>
      <w:r>
        <w:rPr>
          <w:b w:val="0"/>
          <w:sz w:val="20"/>
        </w:rPr>
        <w:t xml:space="preserve">na pasta “Licenças” da Microsoft que acompanha o software; a menos que os termos de licença desses componentes também sejam incluídos no diretório da instalação associada, estes termos de licença prevalecerão.  </w:t>
      </w:r>
    </w:p>
    <w:p w:rsidR="00F666CE" w:rsidRPr="00385A5C" w:rsidRDefault="00F666CE" w:rsidP="00F666CE">
      <w:pPr>
        <w:pStyle w:val="Heading2"/>
        <w:tabs>
          <w:tab w:val="clear" w:pos="993"/>
          <w:tab w:val="num" w:pos="720"/>
        </w:tabs>
        <w:ind w:left="720" w:hanging="360"/>
        <w:rPr>
          <w:iCs/>
          <w:sz w:val="20"/>
          <w:szCs w:val="20"/>
        </w:rPr>
      </w:pPr>
      <w:r>
        <w:rPr>
          <w:sz w:val="20"/>
        </w:rPr>
        <w:t>Termos de Licença para Microsoft SQL Server 2017 Standard Edition.</w:t>
      </w:r>
      <w:r>
        <w:rPr>
          <w:b w:val="0"/>
          <w:sz w:val="20"/>
        </w:rPr>
        <w:t xml:space="preserve">  Uma cópia do Microsoft SQL Server 2017 Standard Edition está incluída no software. Ele está licenciado de acordo com os termos de sua licença localizados na pasta “Licenças” do diretório de instalação do software e, adicionalmente, conforme segue:</w:t>
      </w:r>
    </w:p>
    <w:p w:rsidR="00F666CE" w:rsidRPr="00385A5C" w:rsidRDefault="00F666CE" w:rsidP="00F666CE">
      <w:pPr>
        <w:widowControl w:val="0"/>
        <w:numPr>
          <w:ilvl w:val="0"/>
          <w:numId w:val="4"/>
        </w:numPr>
        <w:tabs>
          <w:tab w:val="clear" w:pos="1437"/>
          <w:tab w:val="num" w:pos="1080"/>
        </w:tabs>
        <w:ind w:left="1080" w:hanging="360"/>
        <w:rPr>
          <w:rFonts w:eastAsia="SimSun"/>
          <w:sz w:val="20"/>
          <w:szCs w:val="20"/>
        </w:rPr>
      </w:pPr>
      <w:r>
        <w:rPr>
          <w:sz w:val="20"/>
        </w:rPr>
        <w:t>Você pode executar, a qualquer momento, uma instância deste programa SQL Server para oferecer suporte ao software em um ambiente de sistema operacional físico ou virtual. Não são necessárias CALs do SQL Server para usar este programa do SQL Server com o software. Você poderá criar e armazenar uma cópia do SQL Server 2017 Standard Edition como back-up exclusivamente para exercer seu direito de executar uma instância do SQL Server 2017 Edition, conforme fornecido aqui.</w:t>
      </w:r>
    </w:p>
    <w:p w:rsidR="003C2DE9" w:rsidRPr="00385A5C" w:rsidRDefault="005F7C07" w:rsidP="009C1CC1">
      <w:pPr>
        <w:pStyle w:val="Heading1"/>
        <w:rPr>
          <w:sz w:val="20"/>
          <w:szCs w:val="20"/>
        </w:rPr>
      </w:pPr>
      <w:r>
        <w:rPr>
          <w:sz w:val="20"/>
        </w:rPr>
        <w:t xml:space="preserve">ESCOPO DA LICENÇA.  </w:t>
      </w:r>
      <w:r>
        <w:rPr>
          <w:b w:val="0"/>
          <w:sz w:val="20"/>
        </w:rPr>
        <w:t>O software é licenciado, e não vendido. Este contrato concede a você apenas alguns direitos de uso do software.  A Microsoft reserva para si todos os outros direitos.  Salvo quando a lei aplicável conferir outros direitos, não obstante a presente limitação, você poderá usar o software apenas da maneira expressamente permitida neste contrato.  Ao fazer isso, você deverá respeitar todas as limitações técnicas do software que permitam seu uso apenas de determinadas formas.  É vetado:</w:t>
      </w:r>
    </w:p>
    <w:p w:rsidR="003C2DE9" w:rsidRPr="00385A5C" w:rsidRDefault="005F7C07" w:rsidP="009C1CC1">
      <w:pPr>
        <w:pStyle w:val="Bullet2"/>
        <w:rPr>
          <w:sz w:val="20"/>
          <w:szCs w:val="20"/>
        </w:rPr>
      </w:pPr>
      <w:r>
        <w:rPr>
          <w:sz w:val="20"/>
        </w:rPr>
        <w:lastRenderedPageBreak/>
        <w:t>contornar quaisquer limitações técnicas do software;</w:t>
      </w:r>
    </w:p>
    <w:p w:rsidR="003C2DE9" w:rsidRPr="00385A5C" w:rsidRDefault="005476D7" w:rsidP="005476D7">
      <w:pPr>
        <w:pStyle w:val="Bullet2"/>
        <w:rPr>
          <w:sz w:val="20"/>
          <w:szCs w:val="20"/>
        </w:rPr>
      </w:pPr>
      <w:r>
        <w:rPr>
          <w:sz w:val="20"/>
        </w:rPr>
        <w:t>fazer engenharia reversa, descompilar nem desmontar o software, nem tentar de outra forma gerar o código-fonte do software, exceto e até a extensão exigida pelos termos de licenciamento de terceiros que regem o uso de determinados componentes de software livre que podem ser incluídos no software;</w:t>
      </w:r>
    </w:p>
    <w:p w:rsidR="00E36D36" w:rsidRPr="00385A5C" w:rsidRDefault="00E36D36" w:rsidP="009C1CC1">
      <w:pPr>
        <w:pStyle w:val="Bullet2"/>
        <w:rPr>
          <w:sz w:val="20"/>
          <w:szCs w:val="20"/>
        </w:rPr>
      </w:pPr>
      <w:r>
        <w:rPr>
          <w:sz w:val="20"/>
        </w:rPr>
        <w:t>remover, minimizar, bloquear ou modificar notificações da Microsoft ou de seus fornecedores no software;</w:t>
      </w:r>
    </w:p>
    <w:p w:rsidR="005476D7" w:rsidRPr="00385A5C" w:rsidRDefault="005476D7" w:rsidP="009C1CC1">
      <w:pPr>
        <w:pStyle w:val="Bullet2"/>
        <w:rPr>
          <w:sz w:val="20"/>
          <w:szCs w:val="20"/>
        </w:rPr>
      </w:pPr>
      <w:r>
        <w:rPr>
          <w:sz w:val="20"/>
        </w:rPr>
        <w:t>usar o software de qualquer maneira que seja ilegal ou</w:t>
      </w:r>
    </w:p>
    <w:p w:rsidR="003C2DE9" w:rsidRPr="00BA76A8" w:rsidRDefault="008C2558" w:rsidP="006468E6">
      <w:pPr>
        <w:pStyle w:val="Bullet2"/>
        <w:rPr>
          <w:strike/>
          <w:sz w:val="20"/>
          <w:szCs w:val="20"/>
        </w:rPr>
      </w:pPr>
      <w:r>
        <w:rPr>
          <w:sz w:val="20"/>
        </w:rPr>
        <w:t xml:space="preserve">compartilhar, </w:t>
      </w:r>
      <w:r>
        <w:t xml:space="preserve">publicar, alugar ou arrendar o </w:t>
      </w:r>
      <w:r>
        <w:rPr>
          <w:sz w:val="20"/>
        </w:rPr>
        <w:t>software ou fornecê-lo como uma solução hospedada independente para outras pessoas usarem.</w:t>
      </w:r>
    </w:p>
    <w:p w:rsidR="003C2DE9" w:rsidRPr="0052193C" w:rsidRDefault="005F7C07" w:rsidP="003E1822">
      <w:pPr>
        <w:pStyle w:val="Heading1"/>
        <w:widowControl w:val="0"/>
        <w:rPr>
          <w:sz w:val="20"/>
          <w:szCs w:val="20"/>
        </w:rPr>
      </w:pPr>
      <w:r>
        <w:rPr>
          <w:sz w:val="20"/>
        </w:rPr>
        <w:t xml:space="preserve">CÓPIA DE BACKUP.  </w:t>
      </w:r>
      <w:r>
        <w:rPr>
          <w:b w:val="0"/>
          <w:sz w:val="20"/>
        </w:rPr>
        <w:t>O cliente poderá fazer uma cópia de backup do software para reinstalá-lo.</w:t>
      </w:r>
    </w:p>
    <w:p w:rsidR="00D27198" w:rsidRPr="00BA76A8" w:rsidRDefault="00D27198" w:rsidP="00D27198">
      <w:pPr>
        <w:pStyle w:val="Heading1"/>
        <w:widowControl w:val="0"/>
        <w:rPr>
          <w:rFonts w:eastAsia="SimSun"/>
          <w:b w:val="0"/>
          <w:sz w:val="20"/>
          <w:szCs w:val="20"/>
        </w:rPr>
      </w:pPr>
      <w:r>
        <w:rPr>
          <w:sz w:val="20"/>
        </w:rPr>
        <w:t xml:space="preserve">SOFTWARE NÃO COMERCIALIZÁVEL. </w:t>
      </w:r>
      <w:r>
        <w:rPr>
          <w:b w:val="0"/>
          <w:sz w:val="20"/>
        </w:rPr>
        <w:t>É proibido vender o software marcado como “NFR” ou “Not for Resale” (Revenda Proibida).</w:t>
      </w:r>
    </w:p>
    <w:p w:rsidR="00D27198" w:rsidRPr="00BA76A8" w:rsidRDefault="00AA5563" w:rsidP="00D27198">
      <w:pPr>
        <w:pStyle w:val="Heading1"/>
        <w:widowControl w:val="0"/>
        <w:rPr>
          <w:rFonts w:eastAsia="SimSun"/>
          <w:b w:val="0"/>
          <w:sz w:val="20"/>
          <w:szCs w:val="20"/>
        </w:rPr>
      </w:pPr>
      <w:r>
        <w:rPr>
          <w:sz w:val="20"/>
        </w:rPr>
        <w:t xml:space="preserve">DIREITOS DE USAR OUTRAS VERSÕES E EDIÇÕES ANTERIORES.  </w:t>
      </w:r>
      <w:r>
        <w:rPr>
          <w:b w:val="0"/>
          <w:sz w:val="20"/>
        </w:rPr>
        <w:t>Você pode usar o software e qualquer versão anterior em qualquer dispositivo.</w:t>
      </w:r>
      <w:r>
        <w:rPr>
          <w:sz w:val="20"/>
        </w:rPr>
        <w:t> </w:t>
      </w:r>
      <w:r>
        <w:rPr>
          <w:b w:val="0"/>
          <w:sz w:val="20"/>
        </w:rPr>
        <w:t xml:space="preserve"> Em vez da versão licenciada, você pode criar, armazenar, instalar, executar ou acessar uma cópia de uma versão anterior, uma versão em outro idioma permitido ou uma edição inferior. </w:t>
      </w:r>
    </w:p>
    <w:p w:rsidR="00D27198" w:rsidRPr="00BA76A8" w:rsidRDefault="00D27198" w:rsidP="00D27198">
      <w:pPr>
        <w:pStyle w:val="Heading1"/>
        <w:rPr>
          <w:sz w:val="20"/>
          <w:szCs w:val="20"/>
        </w:rPr>
      </w:pPr>
      <w:r>
        <w:rPr>
          <w:sz w:val="20"/>
        </w:rPr>
        <w:t xml:space="preserve">COMPROVANTE DE LICENÇA. </w:t>
      </w:r>
      <w:r>
        <w:rPr>
          <w:b w:val="0"/>
          <w:sz w:val="20"/>
        </w:rPr>
        <w:t xml:space="preserve">Caso você tenha adquirido o software em um disco ou em outra mídia, o seu comprovante de licença será a etiqueta do certificado de autenticidade da Microsoft e o seu recibo. Caso você tenha comprado uma cópia online do software, o seu comprovante de licença será o seu recibo e/ou poderá acessar o serviço do software por meio de uma conta da Microsoft.  Para identificar o software original da Microsoft, visite o site </w:t>
      </w:r>
      <w:hyperlink r:id="rId15">
        <w:r>
          <w:rPr>
            <w:rStyle w:val="Hyperlink"/>
            <w:b w:val="0"/>
            <w:sz w:val="20"/>
          </w:rPr>
          <w:t>www.howtotell.com</w:t>
        </w:r>
      </w:hyperlink>
      <w:r>
        <w:t>.</w:t>
      </w:r>
    </w:p>
    <w:p w:rsidR="00A31C77" w:rsidRPr="00BA76A8" w:rsidRDefault="00A31C77" w:rsidP="00404F3D">
      <w:pPr>
        <w:pStyle w:val="Heading1Unbold"/>
        <w:spacing w:before="120" w:after="120"/>
        <w:ind w:left="360" w:hanging="360"/>
        <w:rPr>
          <w:bCs/>
          <w:sz w:val="20"/>
          <w:szCs w:val="20"/>
        </w:rPr>
      </w:pPr>
      <w:r>
        <w:rPr>
          <w:b/>
          <w:sz w:val="20"/>
        </w:rPr>
        <w:t xml:space="preserve">TRANSFERÊNCIA PARA TERCEIROS. </w:t>
      </w:r>
      <w:r>
        <w:rPr>
          <w:sz w:val="20"/>
        </w:rPr>
        <w:t>Se você for um licenciado válido do software, você poderá transferir o software e este contrato de licenciamento diretamente para outra parte. Antes da transferência, essa parte deverá concordar que este contrato valerá para a transferência e o uso do software. A transferência deve incluir o software e (se aplicável) o selo do Comprovante de Licença. A pessoa que está fazendo a transferência deverá desinstalar todas as cópias do software depois de transferi-lo do dispositivo. A pessoa que está fazendo a transferência só poderá reter cópias do software se de outra forma for licenciada a fazer isso.</w:t>
      </w:r>
    </w:p>
    <w:p w:rsidR="00A31C77" w:rsidRPr="00385A5C" w:rsidRDefault="00A31C77" w:rsidP="00057836">
      <w:pPr>
        <w:pStyle w:val="Heading1Unbold"/>
        <w:spacing w:before="120" w:after="120"/>
        <w:ind w:left="360" w:hanging="360"/>
        <w:rPr>
          <w:b/>
          <w:bCs/>
          <w:sz w:val="20"/>
          <w:szCs w:val="20"/>
        </w:rPr>
      </w:pPr>
      <w:r>
        <w:rPr>
          <w:b/>
          <w:sz w:val="20"/>
        </w:rPr>
        <w:t xml:space="preserve">RESTRIÇÕES DE EXPORTAÇÃO. </w:t>
      </w:r>
      <w:r>
        <w:rPr>
          <w:sz w:val="20"/>
        </w:rPr>
        <w:t xml:space="preserve">Deverão ser cumpridas todas as leis e regulamentos de exportação nacionais e internacionais que se aplicam ao software, incluindo restrições de destinos, usuários finais e uso final. Para obter mais informações sobre restrições de exportação, visite o site </w:t>
      </w:r>
      <w:hyperlink r:id="rId16">
        <w:r>
          <w:rPr>
            <w:rStyle w:val="Hyperlink"/>
            <w:sz w:val="20"/>
          </w:rPr>
          <w:t>www.microsoft.com/exporting</w:t>
        </w:r>
      </w:hyperlink>
      <w:r>
        <w:rPr>
          <w:sz w:val="20"/>
        </w:rPr>
        <w:t>.</w:t>
      </w:r>
    </w:p>
    <w:p w:rsidR="00ED016B" w:rsidRPr="00385A5C" w:rsidRDefault="005F7C07" w:rsidP="00057836">
      <w:pPr>
        <w:pStyle w:val="Heading1"/>
        <w:widowControl w:val="0"/>
        <w:ind w:left="360" w:hanging="360"/>
        <w:rPr>
          <w:rFonts w:eastAsia="SimSun"/>
          <w:b w:val="0"/>
          <w:bCs w:val="0"/>
          <w:sz w:val="20"/>
          <w:szCs w:val="20"/>
          <w:u w:val="single"/>
        </w:rPr>
      </w:pPr>
      <w:r>
        <w:rPr>
          <w:sz w:val="20"/>
        </w:rPr>
        <w:t>SERVIÇOS DE SUPORTE.</w:t>
      </w:r>
      <w:r>
        <w:rPr>
          <w:b w:val="0"/>
          <w:sz w:val="20"/>
        </w:rPr>
        <w:t xml:space="preserve"> A Microsoft fornece serviços de suporte ao software conforme descrito no site </w:t>
      </w:r>
      <w:hyperlink r:id="rId17">
        <w:r>
          <w:rPr>
            <w:sz w:val="20"/>
          </w:rPr>
          <w:t>https://support.microsoft.com</w:t>
        </w:r>
      </w:hyperlink>
      <w:r>
        <w:rPr>
          <w:b w:val="0"/>
          <w:sz w:val="20"/>
        </w:rPr>
        <w:t>.</w:t>
      </w:r>
    </w:p>
    <w:p w:rsidR="00A31C77" w:rsidRPr="002061BD" w:rsidRDefault="005F7C07" w:rsidP="00A31C77">
      <w:pPr>
        <w:pStyle w:val="Heading1Unbold"/>
        <w:rPr>
          <w:b/>
          <w:bCs/>
          <w:sz w:val="20"/>
          <w:szCs w:val="20"/>
        </w:rPr>
      </w:pPr>
      <w:r>
        <w:rPr>
          <w:b/>
          <w:sz w:val="20"/>
        </w:rPr>
        <w:t xml:space="preserve">CONTRATO INTEGRAL. </w:t>
      </w:r>
      <w:r>
        <w:rPr>
          <w:sz w:val="20"/>
        </w:rPr>
        <w:t>Este contrato (incluindo a garantia abaixo) e os termos dos suplementos, das atualizações, dos serviços de Internet e dos serviços de suporte usados por você constituem o acordo integral para o software e os serviços de suporte.</w:t>
      </w:r>
    </w:p>
    <w:p w:rsidR="002061BD" w:rsidRPr="00385A5C" w:rsidRDefault="002061BD" w:rsidP="002061BD">
      <w:pPr>
        <w:pStyle w:val="Heading1Unbold"/>
        <w:numPr>
          <w:ilvl w:val="0"/>
          <w:numId w:val="0"/>
        </w:numPr>
        <w:ind w:left="357"/>
        <w:rPr>
          <w:b/>
          <w:bCs/>
          <w:sz w:val="20"/>
          <w:szCs w:val="20"/>
        </w:rPr>
      </w:pPr>
    </w:p>
    <w:p w:rsidR="00A31C77" w:rsidRDefault="005F7C07">
      <w:pPr>
        <w:pStyle w:val="Heading1Unbold"/>
        <w:rPr>
          <w:sz w:val="20"/>
          <w:szCs w:val="20"/>
        </w:rPr>
      </w:pPr>
      <w:r>
        <w:rPr>
          <w:b/>
          <w:sz w:val="20"/>
        </w:rPr>
        <w:t>LEI APLICÁVEL.</w:t>
      </w:r>
      <w:r>
        <w:rPr>
          <w:sz w:val="20"/>
        </w:rPr>
        <w:t xml:space="preserve"> Se você tiver adquirido o software nos Estados Unidos, as leis de Washington se aplicam à interpretação de e a quaisquer requerimentos judiciais ou extrajudiciais por violação deste contrato, e as leis do estado no qual você reside se aplicam a todos os outros requerimentos judiciais ou extrajudiciais.  Se você adquirir o software em qualquer outro país, suas leis serão aplicadas.</w:t>
      </w:r>
    </w:p>
    <w:p w:rsidR="006E26BF" w:rsidRDefault="006E26BF" w:rsidP="006E26BF">
      <w:pPr>
        <w:pStyle w:val="Heading1"/>
        <w:tabs>
          <w:tab w:val="clear" w:pos="360"/>
          <w:tab w:val="num" w:pos="540"/>
        </w:tabs>
        <w:ind w:left="360" w:hanging="360"/>
        <w:rPr>
          <w:b w:val="0"/>
          <w:sz w:val="20"/>
          <w:szCs w:val="20"/>
        </w:rPr>
      </w:pPr>
      <w:r>
        <w:rPr>
          <w:sz w:val="20"/>
        </w:rPr>
        <w:t xml:space="preserve">DIREITOS DO CONSUMIDOR; VARIAÇÕES REGIONAIS. </w:t>
      </w:r>
      <w:r>
        <w:rPr>
          <w:b w:val="0"/>
          <w:sz w:val="20"/>
        </w:rPr>
        <w:t xml:space="preserve">Este contrato descreve determinados direitos previstos em lei. Você poderá ter outros direitos, incluindo os direitos do consumidor, de acordo com as leis do seu estado ou país. Separada e distintamente do seu relacionamento com a Microsoft, você também poderá exercer direitos em relação à parte de quem adquiriu o software. O </w:t>
      </w:r>
      <w:r>
        <w:rPr>
          <w:b w:val="0"/>
          <w:sz w:val="20"/>
        </w:rPr>
        <w:lastRenderedPageBreak/>
        <w:t>presente contrato não altera esses outros direitos se as leis do seu estado ou país não permitirem que você o faça. Por exemplo, se você tiver adquirido o software em uma das regiões a seguir, ou leis obrigatórias do país forem aplicáveis, as seguintes disposições se aplicarão a você:</w:t>
      </w:r>
    </w:p>
    <w:p w:rsidR="006E26BF" w:rsidRDefault="006E26BF" w:rsidP="006E26BF">
      <w:pPr>
        <w:pStyle w:val="Heading2"/>
        <w:numPr>
          <w:ilvl w:val="0"/>
          <w:numId w:val="30"/>
        </w:numPr>
        <w:tabs>
          <w:tab w:val="left" w:pos="720"/>
        </w:tabs>
        <w:rPr>
          <w:b w:val="0"/>
          <w:sz w:val="20"/>
          <w:szCs w:val="20"/>
        </w:rPr>
      </w:pPr>
      <w:r>
        <w:rPr>
          <w:sz w:val="20"/>
        </w:rPr>
        <w:t xml:space="preserve">Austrália. </w:t>
      </w:r>
      <w:r>
        <w:rPr>
          <w:b w:val="0"/>
          <w:sz w:val="20"/>
        </w:rPr>
        <w:t>As referências à “Garantia Limitada” são referências à garantia contratual fornecida pela Microsoft ou pelo fabricante ou o instalador. Essa garantia é fornecida além de outros direitos e recursos que você pode ter sob a lei, incluindo seus direitos e recursos de acordo com as garantias estatutárias sob a Lei de Consumo Australiana.</w:t>
      </w:r>
    </w:p>
    <w:p w:rsidR="000F2756" w:rsidRPr="000F2756" w:rsidRDefault="000F2756" w:rsidP="000F2756">
      <w:pPr>
        <w:pStyle w:val="Heading2"/>
        <w:numPr>
          <w:ilvl w:val="0"/>
          <w:numId w:val="0"/>
        </w:numPr>
        <w:tabs>
          <w:tab w:val="left" w:pos="720"/>
        </w:tabs>
        <w:ind w:left="717"/>
        <w:rPr>
          <w:b w:val="0"/>
          <w:sz w:val="20"/>
          <w:szCs w:val="20"/>
        </w:rPr>
      </w:pPr>
      <w:r>
        <w:rPr>
          <w:b w:val="0"/>
          <w:sz w:val="20"/>
        </w:rPr>
        <w:t>Nesta seção, “mercadorias” refere-se ao software para o qual a Microsoft, o fabricante ou o instalador fornecem a garantia contratual. Nossas mercadorias vêm com garantias que não podem ser excluídas mediante a Lei de Consumo Australiana. Você está qualificado para uma substituição ou reembolso por uma falha significativa e compensação por qualquer outra perda ou dano razoavelmente previsto. Você também está qualificado para ter as mercadorias reparadas ou substituídas se elas não tiverem uma qualidade aceitável, e a falha não representar uma soma para uma falha significativa.</w:t>
      </w:r>
    </w:p>
    <w:p w:rsidR="006E26BF" w:rsidRDefault="006E26BF" w:rsidP="006E26BF">
      <w:pPr>
        <w:pStyle w:val="Heading2"/>
        <w:numPr>
          <w:ilvl w:val="0"/>
          <w:numId w:val="30"/>
        </w:numPr>
        <w:tabs>
          <w:tab w:val="left" w:pos="720"/>
        </w:tabs>
        <w:rPr>
          <w:b w:val="0"/>
          <w:sz w:val="20"/>
          <w:szCs w:val="20"/>
        </w:rPr>
      </w:pPr>
      <w:r>
        <w:rPr>
          <w:sz w:val="20"/>
        </w:rPr>
        <w:t xml:space="preserve">No Canadá. </w:t>
      </w:r>
      <w:r>
        <w:rPr>
          <w:b w:val="0"/>
          <w:sz w:val="20"/>
        </w:rPr>
        <w:t>Caso o software tenha sido adquirido no Canadá, você poderá parar de receber atualizações desativando o recurso de atualizações automáticas, desconectando o seu dispositivo da Internet (no entanto, se e quando houver reconexão à Internet, o software continuará a verificar e a instalar atualizações) ou desinstalando o software. A documentação do produto, se houver, também pode especificar como desativar as atualizações para seu dispositivo ou software específico.</w:t>
      </w:r>
    </w:p>
    <w:p w:rsidR="006E26BF" w:rsidRDefault="006E26BF" w:rsidP="006E26BF">
      <w:pPr>
        <w:pStyle w:val="Heading2"/>
        <w:numPr>
          <w:ilvl w:val="0"/>
          <w:numId w:val="30"/>
        </w:numPr>
        <w:tabs>
          <w:tab w:val="left" w:pos="720"/>
        </w:tabs>
        <w:rPr>
          <w:b w:val="0"/>
          <w:sz w:val="20"/>
          <w:szCs w:val="20"/>
        </w:rPr>
      </w:pPr>
      <w:r>
        <w:rPr>
          <w:sz w:val="20"/>
        </w:rPr>
        <w:t>Alemanha e Áustria</w:t>
      </w:r>
      <w:r>
        <w:rPr>
          <w:b w:val="0"/>
          <w:sz w:val="20"/>
        </w:rPr>
        <w:t>.</w:t>
      </w:r>
    </w:p>
    <w:p w:rsidR="006E26BF" w:rsidRDefault="006E26BF" w:rsidP="006E26BF">
      <w:pPr>
        <w:ind w:left="717"/>
        <w:rPr>
          <w:sz w:val="20"/>
          <w:szCs w:val="20"/>
        </w:rPr>
      </w:pPr>
      <w:r>
        <w:rPr>
          <w:b/>
          <w:sz w:val="20"/>
        </w:rPr>
        <w:t>(i)</w:t>
      </w:r>
      <w:r>
        <w:tab/>
      </w:r>
      <w:r>
        <w:rPr>
          <w:b/>
          <w:sz w:val="20"/>
        </w:rPr>
        <w:t>Garantia</w:t>
      </w:r>
      <w:r>
        <w:t>.</w:t>
      </w:r>
      <w:r>
        <w:rPr>
          <w:sz w:val="20"/>
        </w:rPr>
        <w:t xml:space="preserve"> O software devidamente licenciado desempenhará as funções de forma substancial conforme descrito nos materiais da Microsoft que acompanham o software. No entanto, a Microsoft não dá nenhuma garantia contratual relativa ao software licenciado.</w:t>
      </w:r>
    </w:p>
    <w:p w:rsidR="006E26BF" w:rsidRDefault="006E26BF" w:rsidP="006E26BF">
      <w:pPr>
        <w:ind w:left="717"/>
        <w:rPr>
          <w:sz w:val="20"/>
          <w:szCs w:val="20"/>
        </w:rPr>
      </w:pPr>
      <w:r>
        <w:rPr>
          <w:b/>
          <w:sz w:val="20"/>
        </w:rPr>
        <w:t>(ii)</w:t>
      </w:r>
      <w:r>
        <w:tab/>
      </w:r>
      <w:r>
        <w:rPr>
          <w:b/>
          <w:sz w:val="20"/>
        </w:rPr>
        <w:t>Limitação de responsabilidade.</w:t>
      </w:r>
      <w:r>
        <w:rPr>
          <w:sz w:val="20"/>
        </w:rPr>
        <w:t xml:space="preserve"> No caso de conduta intencional, negligência grave, requerimentos judiciais ou extrajudiciais com base na Product Liability Act - Lei de Responsabilidade Civil sobre Produtos, bem como em caso de morte ou danos pessoais ou físicos, a Microsoft será responsável de acordo com a legislação.</w:t>
      </w:r>
    </w:p>
    <w:p w:rsidR="006E26BF" w:rsidRDefault="006E26BF" w:rsidP="006E26BF">
      <w:pPr>
        <w:pStyle w:val="Heading1"/>
        <w:numPr>
          <w:ilvl w:val="0"/>
          <w:numId w:val="0"/>
        </w:numPr>
        <w:tabs>
          <w:tab w:val="left" w:pos="720"/>
        </w:tabs>
        <w:ind w:left="717"/>
        <w:rPr>
          <w:b w:val="0"/>
          <w:sz w:val="20"/>
          <w:szCs w:val="20"/>
        </w:rPr>
      </w:pPr>
      <w:r>
        <w:rPr>
          <w:b w:val="0"/>
          <w:sz w:val="20"/>
        </w:rPr>
        <w:t>De acordo com a cláusula (ii) citada, a Microsoft só poderá ser responsável por negligência leve se a mesma tiver violado essas obrigações contratuais substanciais, cuja observância facilitaria o devido cumprimento deste contrato, cuja violação possa colocar em risco os objetivos deste contrato e a conformidade com a qual uma parte poderia confiar constantemente (as chamadas "obrigações primordiais"). Em outros casos de negligência leve, a Microsoft não será responsabilizada.</w:t>
      </w:r>
    </w:p>
    <w:p w:rsidR="00A31C77" w:rsidRPr="00385A5C" w:rsidRDefault="005F7C07" w:rsidP="00057836">
      <w:pPr>
        <w:pStyle w:val="Heading1Unbold"/>
        <w:spacing w:before="120" w:after="120"/>
        <w:rPr>
          <w:b/>
          <w:bCs/>
          <w:sz w:val="20"/>
          <w:szCs w:val="20"/>
        </w:rPr>
      </w:pPr>
      <w:r>
        <w:rPr>
          <w:b/>
          <w:sz w:val="20"/>
        </w:rPr>
        <w:t>LIMITAÇÃO E EXCLUSÃO DE INDENIZAÇÕES. A INDENIZAÇÃO DE DANOS DIRETOS PELA MICROSOFT E SEUS FORNECEDORES RESTRINGE-SE AO VALOR DE US$ 5,00 (CINCO DÓLARES AMERICANOS). NÃO SERÁ POSSÍVEL RECUPERAR QUAISQUER OUTROS DANOS, INCLUSIVE DANOS CONSEQUENCIAIS, ESPECIAIS, INDIRETOS, INCIDENTAIS OU POR LUCROS CESSANTES.</w:t>
      </w:r>
    </w:p>
    <w:p w:rsidR="00A31C77" w:rsidRPr="00385A5C" w:rsidRDefault="005F7C07" w:rsidP="00CF73DE">
      <w:pPr>
        <w:pStyle w:val="Heading1Unbold"/>
        <w:numPr>
          <w:ilvl w:val="0"/>
          <w:numId w:val="0"/>
        </w:numPr>
        <w:spacing w:before="120" w:after="120"/>
        <w:ind w:left="360" w:hanging="3"/>
        <w:rPr>
          <w:bCs/>
          <w:sz w:val="20"/>
          <w:szCs w:val="20"/>
        </w:rPr>
      </w:pPr>
      <w:r>
        <w:rPr>
          <w:sz w:val="20"/>
        </w:rPr>
        <w:t>Esta limitação se aplica a (a) qualquer questão relacionada ao software, aos serviços, ao conteúdo (inclusive código) em sites ou aplicativos de terceiros e (b) requerimentos judiciais ou extrajudiciais de violação de contrato, de garantia ou condição, de responsabilidade objetiva, de negligência ou de outro ato ilícito extracontratual, até o limite permitido pela lei aplicável.</w:t>
      </w:r>
    </w:p>
    <w:p w:rsidR="00CE6053" w:rsidRPr="00385A5C" w:rsidRDefault="005F7C07" w:rsidP="00CF73DE">
      <w:pPr>
        <w:pStyle w:val="Heading1Unbold"/>
        <w:numPr>
          <w:ilvl w:val="0"/>
          <w:numId w:val="0"/>
        </w:numPr>
        <w:spacing w:before="120" w:after="120"/>
        <w:ind w:left="357"/>
        <w:rPr>
          <w:bCs/>
          <w:sz w:val="20"/>
          <w:szCs w:val="20"/>
        </w:rPr>
      </w:pPr>
      <w:r>
        <w:rPr>
          <w:sz w:val="20"/>
        </w:rPr>
        <w:t>A limitação também se aplicará mesmo que a Microsoft saiba ou tenha sido avisada da possibilidade de danos. A limitação ou exclusão acima poderá não se aplicar a você se a legislação do seu estado ou país proibir a exclusão ou limitação de danos incidentais, consequenciais ou outros.</w:t>
      </w:r>
    </w:p>
    <w:p w:rsidR="00AF6E5D" w:rsidRPr="00385A5C" w:rsidRDefault="00AF6E5D">
      <w:pPr>
        <w:spacing w:before="0" w:after="0"/>
        <w:rPr>
          <w:bCs/>
          <w:sz w:val="20"/>
          <w:szCs w:val="20"/>
        </w:rPr>
      </w:pPr>
      <w:r>
        <w:br w:type="page"/>
      </w:r>
    </w:p>
    <w:p w:rsidR="00AF6E5D" w:rsidRPr="00385A5C" w:rsidRDefault="00AF6E5D" w:rsidP="0092772C">
      <w:pPr>
        <w:spacing w:before="0" w:after="0"/>
        <w:rPr>
          <w:bCs/>
          <w:sz w:val="20"/>
          <w:szCs w:val="20"/>
        </w:rPr>
      </w:pPr>
    </w:p>
    <w:p w:rsidR="0071708E" w:rsidRPr="00385A5C" w:rsidRDefault="0071708E" w:rsidP="0071708E">
      <w:pPr>
        <w:widowControl w:val="0"/>
        <w:rPr>
          <w:rFonts w:eastAsia="SimSun"/>
          <w:b/>
          <w:bCs/>
          <w:sz w:val="20"/>
          <w:szCs w:val="20"/>
        </w:rPr>
      </w:pPr>
      <w:r>
        <w:rPr>
          <w:b/>
          <w:sz w:val="20"/>
        </w:rPr>
        <w:t>*************************************************************************</w:t>
      </w:r>
    </w:p>
    <w:p w:rsidR="006242AF" w:rsidRPr="00385A5C" w:rsidRDefault="006242AF" w:rsidP="006242AF">
      <w:pPr>
        <w:pStyle w:val="HeadingWarranty"/>
        <w:widowControl w:val="0"/>
        <w:rPr>
          <w:rFonts w:eastAsia="SimSun"/>
          <w:sz w:val="20"/>
          <w:szCs w:val="20"/>
        </w:rPr>
      </w:pPr>
      <w:r>
        <w:rPr>
          <w:sz w:val="20"/>
        </w:rPr>
        <w:t>GARANTIA LIMITADA</w:t>
      </w:r>
    </w:p>
    <w:p w:rsidR="006242AF" w:rsidRPr="00385A5C" w:rsidRDefault="006242AF" w:rsidP="006242AF">
      <w:pPr>
        <w:pStyle w:val="Heading1Warranty"/>
        <w:widowControl w:val="0"/>
        <w:rPr>
          <w:rFonts w:eastAsia="SimSun"/>
          <w:sz w:val="20"/>
          <w:szCs w:val="20"/>
        </w:rPr>
      </w:pPr>
      <w:r>
        <w:rPr>
          <w:b/>
          <w:sz w:val="20"/>
        </w:rPr>
        <w:t>GARANTIA LIMITADA.</w:t>
      </w:r>
      <w:r>
        <w:rPr>
          <w:sz w:val="20"/>
        </w:rPr>
        <w:t xml:space="preserve"> Se você seguir as instruções, o software será executado em plena conformidade com o que está descrito nos materiais da Microsoft recebidos no software ou que o acompanham.</w:t>
      </w:r>
    </w:p>
    <w:p w:rsidR="006242AF" w:rsidRPr="00385A5C" w:rsidRDefault="006242AF" w:rsidP="006242AF">
      <w:pPr>
        <w:ind w:left="360"/>
        <w:rPr>
          <w:sz w:val="20"/>
          <w:szCs w:val="20"/>
        </w:rPr>
      </w:pPr>
      <w:r>
        <w:rPr>
          <w:sz w:val="20"/>
        </w:rPr>
        <w:t>As referências à “garantia limitada” são referências à garantia contratual fornecida pela Microsoft. Essa garantia é fornecida além de outros direitos e recursos que você possa ter previstos em lei, incluindo seus direitos e recursos de acordo com as garantias estatutárias de acordo com a Lei de Consumo local.</w:t>
      </w:r>
    </w:p>
    <w:p w:rsidR="006242AF" w:rsidRPr="00385A5C" w:rsidRDefault="006242AF" w:rsidP="006242AF">
      <w:pPr>
        <w:pStyle w:val="Heading1Warranty"/>
        <w:widowControl w:val="0"/>
        <w:rPr>
          <w:rFonts w:eastAsia="SimSun"/>
          <w:bCs/>
          <w:sz w:val="20"/>
          <w:szCs w:val="20"/>
        </w:rPr>
      </w:pPr>
      <w:r>
        <w:rPr>
          <w:b/>
          <w:sz w:val="20"/>
        </w:rPr>
        <w:t>TERMO DE GARANTIA; BENEFICIÁRIO DA GARANTIA; DURAÇÃO DE QUALQUER GARANTIA LEGAL. A garantia limitada cobre o software por um ano após a aquisição dele pelo primeiro usuário. Caso você receba suplementos, atualizações ou softwares substitutos durante esse ano, eles contarão com cobertura pelo restante da garantia ou por 30 dias, o que for maior.</w:t>
      </w:r>
      <w:r>
        <w:rPr>
          <w:sz w:val="20"/>
        </w:rPr>
        <w:t xml:space="preserve"> Se o primeiro usuário transferir o software, o restante da garantia será aplicado ao beneficiário da transferência.</w:t>
      </w:r>
    </w:p>
    <w:p w:rsidR="006242AF" w:rsidRPr="00385A5C" w:rsidRDefault="00972B5B" w:rsidP="006242AF">
      <w:pPr>
        <w:pStyle w:val="Body1"/>
        <w:widowControl w:val="0"/>
        <w:rPr>
          <w:rFonts w:eastAsia="SimSun"/>
          <w:sz w:val="20"/>
          <w:szCs w:val="20"/>
        </w:rPr>
      </w:pPr>
      <w:r>
        <w:rPr>
          <w:b/>
          <w:sz w:val="20"/>
        </w:rPr>
        <w:t xml:space="preserve"> Na extensão permitida pela lei, todas as garantias ou condições legais terão apenas a duração da garantia limitada.</w:t>
      </w:r>
      <w:r>
        <w:rPr>
          <w:sz w:val="20"/>
        </w:rPr>
        <w:t xml:space="preserve"> Alguns estados não permitem limitações na duração de uma garantia legal; portanto, essas limitações podem não se aplicar a você. Elas também podem não se aplicar a você pelo fato de alguns países não permitirem limitações na duração de uma garantia ou condição legal.</w:t>
      </w:r>
    </w:p>
    <w:p w:rsidR="006242AF" w:rsidRPr="00CF73DE" w:rsidRDefault="006242AF" w:rsidP="006242AF">
      <w:pPr>
        <w:pStyle w:val="Heading1Warranty"/>
        <w:widowControl w:val="0"/>
        <w:rPr>
          <w:rFonts w:eastAsia="SimSun"/>
          <w:sz w:val="20"/>
          <w:szCs w:val="20"/>
        </w:rPr>
      </w:pPr>
      <w:r>
        <w:rPr>
          <w:b/>
          <w:sz w:val="20"/>
        </w:rPr>
        <w:t>EXCLUSÕES DA GARANTIA.</w:t>
      </w:r>
      <w:r>
        <w:rPr>
          <w:sz w:val="20"/>
        </w:rPr>
        <w:t xml:space="preserve"> Esta garantia não contempla problemas causados por seus atos (ou omissões), por atos de terceiros, por ocorrências que estejam além do controle razoável da Microsoft.</w:t>
      </w:r>
    </w:p>
    <w:p w:rsidR="006242AF" w:rsidRPr="00CF73DE" w:rsidRDefault="006242AF" w:rsidP="006242AF">
      <w:pPr>
        <w:pStyle w:val="Heading1Warranty"/>
        <w:widowControl w:val="0"/>
        <w:rPr>
          <w:rFonts w:eastAsia="SimSun"/>
          <w:b/>
          <w:bCs/>
          <w:sz w:val="20"/>
          <w:szCs w:val="20"/>
        </w:rPr>
      </w:pPr>
      <w:r>
        <w:rPr>
          <w:b/>
          <w:sz w:val="20"/>
        </w:rPr>
        <w:t>RECURSO EM CASO DE QUEBRA DE GARANTIA. A Microsoft reparará ou substituirá o software sem custos adicionais. Caso a Microsoft não possa efetuar o reparo ou a substituição, a Microsoft reembolsará o valor indicado no seu recibo do software. Os suplementos, as atualizações e o software de substituição também serão reparados ou substituídos sem custos adicionais. Caso a Microsoft não possa efetuar os referidos reparos ou a referida substituição, deverá reembolsar o valor pago pelos mesmos, se houver. Para obter reembolso, o cliente deve desinstalar o software e retornar qualquer mídia, e outros materiais associados, à Microsoft com o comprovante de compra. Esses são os seus únicos recursos para a quebra da garantia limitada.</w:t>
      </w:r>
    </w:p>
    <w:p w:rsidR="006242AF" w:rsidRPr="00CF73DE" w:rsidRDefault="006242AF" w:rsidP="006242AF">
      <w:pPr>
        <w:pStyle w:val="Heading1Warranty"/>
        <w:widowControl w:val="0"/>
        <w:rPr>
          <w:rFonts w:eastAsia="SimSun"/>
          <w:b/>
          <w:bCs/>
          <w:sz w:val="20"/>
          <w:szCs w:val="20"/>
        </w:rPr>
      </w:pPr>
      <w:r>
        <w:rPr>
          <w:b/>
          <w:sz w:val="20"/>
        </w:rPr>
        <w:t>DIREITOS DO CONSUMIDOR NÃO AFETADOS. Você pode ter direitos de consumidor adicionais de acordo com as leis locais, que este contrato não pode alterar.</w:t>
      </w:r>
    </w:p>
    <w:p w:rsidR="006242AF" w:rsidRPr="00CF73DE" w:rsidRDefault="006242AF" w:rsidP="006242AF">
      <w:pPr>
        <w:pStyle w:val="Heading1Warranty"/>
        <w:widowControl w:val="0"/>
        <w:rPr>
          <w:rFonts w:eastAsia="SimSun"/>
          <w:bCs/>
          <w:sz w:val="20"/>
          <w:szCs w:val="20"/>
        </w:rPr>
      </w:pPr>
      <w:r>
        <w:rPr>
          <w:b/>
          <w:sz w:val="20"/>
        </w:rPr>
        <w:t xml:space="preserve">PROCEDIMENTOS DE GARANTIA. </w:t>
      </w:r>
      <w:r>
        <w:rPr>
          <w:sz w:val="20"/>
        </w:rPr>
        <w:t>É necessário ter o comprovante de compra para obter o serviço de garantia.</w:t>
      </w:r>
    </w:p>
    <w:p w:rsidR="006242AF" w:rsidRPr="00CF73DE" w:rsidRDefault="006242AF" w:rsidP="006242AF">
      <w:pPr>
        <w:pStyle w:val="Heading2Warranty"/>
        <w:widowControl w:val="0"/>
        <w:rPr>
          <w:rFonts w:eastAsia="SimSun"/>
          <w:sz w:val="20"/>
          <w:szCs w:val="20"/>
        </w:rPr>
      </w:pPr>
      <w:r>
        <w:rPr>
          <w:b/>
          <w:sz w:val="20"/>
        </w:rPr>
        <w:t>Estados Unidos e Canadá.</w:t>
      </w:r>
      <w:r>
        <w:rPr>
          <w:sz w:val="20"/>
        </w:rPr>
        <w:t xml:space="preserve"> Para obter o serviço de garantia ou informações sobre como obter o reembolso do valor pago por um software adquirido nos Estados Unidos e no Canadá, entre em contato com a Microsoft pelos seguintes meios:</w:t>
      </w:r>
    </w:p>
    <w:p w:rsidR="006242AF" w:rsidRPr="00CF73DE" w:rsidRDefault="006242AF" w:rsidP="002E15C0">
      <w:pPr>
        <w:pStyle w:val="Bullet3"/>
        <w:widowControl w:val="0"/>
        <w:ind w:left="1080" w:hanging="360"/>
        <w:rPr>
          <w:rFonts w:eastAsia="SimSun"/>
          <w:sz w:val="20"/>
          <w:szCs w:val="20"/>
        </w:rPr>
      </w:pPr>
      <w:r>
        <w:rPr>
          <w:sz w:val="20"/>
        </w:rPr>
        <w:t>(800) MICROSOFT;</w:t>
      </w:r>
    </w:p>
    <w:p w:rsidR="006242AF" w:rsidRPr="00CF73DE" w:rsidRDefault="006242AF" w:rsidP="002E15C0">
      <w:pPr>
        <w:pStyle w:val="Bullet3"/>
        <w:widowControl w:val="0"/>
        <w:ind w:left="1080" w:hanging="360"/>
        <w:rPr>
          <w:rFonts w:eastAsia="SimSun"/>
          <w:sz w:val="20"/>
          <w:szCs w:val="20"/>
        </w:rPr>
      </w:pPr>
      <w:r>
        <w:rPr>
          <w:sz w:val="20"/>
        </w:rPr>
        <w:t>Microsoft Customer Service and Support, One Microsoft Way, Redmond, WA 98052-6399 ou</w:t>
      </w:r>
    </w:p>
    <w:p w:rsidR="006242AF" w:rsidRPr="00CF73DE" w:rsidRDefault="006242AF" w:rsidP="002E15C0">
      <w:pPr>
        <w:pStyle w:val="Bullet3"/>
        <w:widowControl w:val="0"/>
        <w:ind w:left="1080" w:hanging="360"/>
        <w:rPr>
          <w:rFonts w:eastAsia="SimSun"/>
          <w:sz w:val="20"/>
          <w:szCs w:val="20"/>
        </w:rPr>
      </w:pPr>
      <w:r>
        <w:rPr>
          <w:sz w:val="20"/>
        </w:rPr>
        <w:t xml:space="preserve">visite o site </w:t>
      </w:r>
      <w:r>
        <w:rPr>
          <w:rStyle w:val="Hyperlink"/>
          <w:sz w:val="20"/>
        </w:rPr>
        <w:t>(</w:t>
      </w:r>
      <w:hyperlink r:id="rId18" w:history="1">
        <w:r w:rsidR="00152BEF" w:rsidRPr="00152BEF">
          <w:rPr>
            <w:rStyle w:val="Hyperlink"/>
            <w:sz w:val="20"/>
          </w:rPr>
          <w:t>aka.ms/nareturns</w:t>
        </w:r>
      </w:hyperlink>
      <w:bookmarkStart w:id="5" w:name="_GoBack"/>
      <w:bookmarkEnd w:id="5"/>
      <w:r>
        <w:rPr>
          <w:rStyle w:val="Hyperlink"/>
          <w:sz w:val="20"/>
        </w:rPr>
        <w:t>)</w:t>
      </w:r>
      <w:r>
        <w:rPr>
          <w:sz w:val="20"/>
        </w:rPr>
        <w:t>.</w:t>
      </w:r>
    </w:p>
    <w:p w:rsidR="006242AF" w:rsidRPr="00CF73DE" w:rsidRDefault="006242AF" w:rsidP="006242AF">
      <w:pPr>
        <w:pStyle w:val="Heading2Warranty"/>
        <w:widowControl w:val="0"/>
        <w:rPr>
          <w:rFonts w:eastAsia="SimSun"/>
          <w:b/>
          <w:bCs/>
          <w:sz w:val="20"/>
          <w:szCs w:val="20"/>
        </w:rPr>
      </w:pPr>
      <w:r>
        <w:rPr>
          <w:b/>
          <w:sz w:val="20"/>
        </w:rPr>
        <w:t xml:space="preserve">Europa, Oriente Médio e África. </w:t>
      </w:r>
      <w:r>
        <w:rPr>
          <w:sz w:val="20"/>
        </w:rPr>
        <w:t>Se você adquiriu o software na Europa, no Oriente Médio ou na África, a Microsoft Ireland Operations Limited faz esta garantia limitada. Para fazer um requerimento judicial ou extrajudicial com base nessa garantia, você deverá entrar em contato com:</w:t>
      </w:r>
    </w:p>
    <w:p w:rsidR="006242AF" w:rsidRPr="00CF73DE" w:rsidRDefault="006242AF" w:rsidP="002E15C0">
      <w:pPr>
        <w:pStyle w:val="Bullet3"/>
        <w:widowControl w:val="0"/>
        <w:ind w:left="1080" w:hanging="360"/>
        <w:rPr>
          <w:rFonts w:eastAsia="SimSun"/>
          <w:sz w:val="20"/>
          <w:szCs w:val="20"/>
        </w:rPr>
      </w:pPr>
      <w:r>
        <w:rPr>
          <w:sz w:val="20"/>
        </w:rPr>
        <w:lastRenderedPageBreak/>
        <w:t>a Microsoft Ireland Operations Limited, Customer Care Centre, Atrium Building Block B, Carmanhall Road, Sandyford Industrial Estate, Dublin 18, Ireland ou</w:t>
      </w:r>
    </w:p>
    <w:p w:rsidR="006242AF" w:rsidRPr="00CF73DE" w:rsidRDefault="006242AF" w:rsidP="002E15C0">
      <w:pPr>
        <w:pStyle w:val="Bullet3"/>
        <w:widowControl w:val="0"/>
        <w:ind w:left="1080" w:hanging="360"/>
        <w:rPr>
          <w:rFonts w:eastAsia="SimSun"/>
          <w:sz w:val="20"/>
          <w:szCs w:val="20"/>
        </w:rPr>
      </w:pPr>
      <w:r>
        <w:rPr>
          <w:sz w:val="20"/>
        </w:rPr>
        <w:t>a afiliada Microsoft em seu país (consulte o site aka.ms/msoffices).</w:t>
      </w:r>
    </w:p>
    <w:p w:rsidR="006242AF" w:rsidRPr="00CF73DE" w:rsidRDefault="006242AF" w:rsidP="006242AF">
      <w:pPr>
        <w:widowControl w:val="0"/>
        <w:numPr>
          <w:ilvl w:val="1"/>
          <w:numId w:val="10"/>
        </w:numPr>
        <w:outlineLvl w:val="1"/>
        <w:rPr>
          <w:rFonts w:eastAsia="SimSun"/>
          <w:sz w:val="20"/>
          <w:szCs w:val="20"/>
        </w:rPr>
      </w:pPr>
      <w:r>
        <w:rPr>
          <w:b/>
          <w:sz w:val="20"/>
        </w:rPr>
        <w:t xml:space="preserve">Austrália. </w:t>
      </w:r>
      <w:r>
        <w:rPr>
          <w:sz w:val="20"/>
        </w:rPr>
        <w:t>Para obter Serviços de Garantia e para requerer judicial ou extrajudicialmente despesas em relação à garantia (se aplicável) para o software adquirido na Austrália, entre em contato com a Microsoft:</w:t>
      </w:r>
    </w:p>
    <w:p w:rsidR="006242AF" w:rsidRPr="00CF73DE" w:rsidRDefault="006242AF" w:rsidP="006242AF">
      <w:pPr>
        <w:widowControl w:val="0"/>
        <w:numPr>
          <w:ilvl w:val="0"/>
          <w:numId w:val="3"/>
        </w:numPr>
        <w:rPr>
          <w:rFonts w:eastAsia="SimSun"/>
          <w:sz w:val="20"/>
          <w:szCs w:val="20"/>
        </w:rPr>
      </w:pPr>
      <w:r>
        <w:rPr>
          <w:sz w:val="20"/>
        </w:rPr>
        <w:t>13 20 58 ou</w:t>
      </w:r>
    </w:p>
    <w:p w:rsidR="006242AF" w:rsidRPr="00CF73DE" w:rsidRDefault="006242AF" w:rsidP="002E15C0">
      <w:pPr>
        <w:pStyle w:val="Bullet3"/>
        <w:widowControl w:val="0"/>
        <w:ind w:left="1080" w:hanging="360"/>
        <w:rPr>
          <w:rFonts w:eastAsia="SimSun"/>
          <w:sz w:val="20"/>
          <w:szCs w:val="20"/>
        </w:rPr>
      </w:pPr>
      <w:r>
        <w:rPr>
          <w:sz w:val="20"/>
        </w:rPr>
        <w:t>Microsoft Pty Ltd, 1 Epping Road, North Ryde NSW 2113, Austrália.</w:t>
      </w:r>
    </w:p>
    <w:p w:rsidR="006242AF" w:rsidRPr="00CF73DE" w:rsidRDefault="006242AF" w:rsidP="006242AF">
      <w:pPr>
        <w:pStyle w:val="Heading2Warranty"/>
        <w:widowControl w:val="0"/>
        <w:rPr>
          <w:rFonts w:eastAsia="SimSun"/>
          <w:bCs/>
          <w:sz w:val="20"/>
          <w:szCs w:val="20"/>
        </w:rPr>
      </w:pPr>
      <w:r>
        <w:rPr>
          <w:b/>
          <w:sz w:val="20"/>
        </w:rPr>
        <w:t xml:space="preserve">Fora dos Estados Unidos, do Canadá, da Europa, do Oriente Médio, da África e da Austrália. </w:t>
      </w:r>
      <w:r>
        <w:rPr>
          <w:sz w:val="20"/>
        </w:rPr>
        <w:t>Se você adquiriu o software fora dos Estados Unidos, do Canadá, da Europa, do Oriente Médio, da África e da Austrália, entre em contato com a afiliada Microsoft em seu país/região (consulte o site aka.ms/msoffices).</w:t>
      </w:r>
    </w:p>
    <w:p w:rsidR="006242AF" w:rsidRDefault="006242AF" w:rsidP="006242AF">
      <w:pPr>
        <w:pStyle w:val="Heading1Warranty"/>
        <w:widowControl w:val="0"/>
        <w:rPr>
          <w:rFonts w:eastAsia="SimSun"/>
          <w:sz w:val="20"/>
          <w:szCs w:val="20"/>
        </w:rPr>
      </w:pPr>
      <w:r>
        <w:rPr>
          <w:b/>
          <w:sz w:val="20"/>
        </w:rPr>
        <w:t>AUSÊNCIA DE OUTRAS GARANTIAS. A garantia limitada constitui a única garantia direta prestada pela Microsoft. A Microsoft não oferece outras garantias nem condições contratuais. Onde seja permitido pelas leis locais, a Microsoft exclui as garantias legais de padrões de comercialização, adequação a uma finalidade específica e não violação.</w:t>
      </w:r>
      <w:r>
        <w:rPr>
          <w:sz w:val="20"/>
        </w:rPr>
        <w:t xml:space="preserve"> Se as suas leis locais previrem garantias ou condições legais, não obstante esta exclusão, seus recursos estarão descritos na cláusula Recurso em Caso de Quebra de Garantia acima, nos termos das leis locais.</w:t>
      </w:r>
    </w:p>
    <w:p w:rsidR="005C3493" w:rsidRPr="005C3493" w:rsidRDefault="005C3493" w:rsidP="005C3493">
      <w:pPr>
        <w:ind w:left="360"/>
      </w:pPr>
      <w:r>
        <w:rPr>
          <w:b/>
          <w:sz w:val="20"/>
        </w:rPr>
        <w:t>SOMENTE PARA A AUSTRÁLIA.</w:t>
      </w:r>
      <w:r>
        <w:rPr>
          <w:sz w:val="20"/>
        </w:rPr>
        <w:t xml:space="preserve"> As referências à “Garantia Limitada” são referências à garantia fornecida pela Microsoft. Essa garantia é fornecida além de outros direitos e recursos que você pode ter sob a lei, incluindo seus direitos e recursos de acordo com as garantias estatutárias sob a Lei de Consumo Australiana. Nossas mercadorias vêm com garantias que não podem ser excluídas mediante a Lei de Consumo Australiana. Você está qualificado para uma substituição ou reembolso por uma falha significativa e compensação por qualquer outra perda ou dano razoavelmente previsto. Você também está qualificado para ter as mercadorias reparadas ou substituídas se elas não tiverem uma qualidade aceitável, e a falha não representar uma soma para uma falha significativa. As mercadorias apresentadas para reparo poderão ser substituídas por mercadorias remanufaturadas do mesmo tipo em vez de serem substituídas. Peças remanufaturadas poderão ser usadas para reparar as mercadorias.</w:t>
      </w:r>
    </w:p>
    <w:p w:rsidR="006242AF" w:rsidRPr="00CF73DE" w:rsidRDefault="006242AF" w:rsidP="006242AF">
      <w:pPr>
        <w:pStyle w:val="Heading1Warranty"/>
        <w:widowControl w:val="0"/>
        <w:rPr>
          <w:rFonts w:eastAsia="SimSun"/>
          <w:b/>
          <w:bCs/>
          <w:sz w:val="20"/>
          <w:szCs w:val="20"/>
        </w:rPr>
      </w:pPr>
      <w:r>
        <w:rPr>
          <w:b/>
          <w:sz w:val="20"/>
        </w:rPr>
        <w:t>LIMITAÇÃO E EXCLUSÃO DE INDENIZAÇÃO REFERENTE AO DESCUMPRIMENTO DA GARANTIA. A cláusula Limitação e Exclusão de Danos acima se aplica a violações desta garantia limitada.</w:t>
      </w:r>
    </w:p>
    <w:p w:rsidR="003C2DE9" w:rsidRPr="004B4C0F" w:rsidRDefault="005C3493" w:rsidP="0029381F">
      <w:pPr>
        <w:rPr>
          <w:sz w:val="20"/>
          <w:szCs w:val="20"/>
        </w:rPr>
      </w:pPr>
      <w:r>
        <w:rPr>
          <w:b/>
          <w:sz w:val="20"/>
        </w:rPr>
        <w:t>Esta garantia oferece direitos legais específicos, e você também pode ter outros direitos que variam de acordo com cada estado. Você também pode ter outros direitos que variam de acordo com cada país.</w:t>
      </w:r>
      <w:r>
        <w:rPr>
          <w:b/>
          <w:bCs/>
          <w:sz w:val="20"/>
          <w:szCs w:val="20"/>
        </w:rPr>
        <w:br/>
      </w:r>
      <w:r>
        <w:rPr>
          <w:b/>
          <w:bCs/>
          <w:sz w:val="20"/>
          <w:szCs w:val="20"/>
        </w:rPr>
        <w:br/>
      </w:r>
      <w:r>
        <w:rPr>
          <w:sz w:val="20"/>
        </w:rPr>
        <w:t>TFS2018_UPDATE_RTW_</w:t>
      </w:r>
      <w:r w:rsidR="00861434">
        <w:rPr>
          <w:sz w:val="20"/>
        </w:rPr>
        <w:t>PT</w:t>
      </w:r>
      <w:r w:rsidR="004B040D">
        <w:rPr>
          <w:sz w:val="20"/>
        </w:rPr>
        <w:t>B</w:t>
      </w:r>
    </w:p>
    <w:sectPr w:rsidR="003C2DE9" w:rsidRPr="004B4C0F" w:rsidSect="004C5432">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1A" w:rsidRDefault="00794D1A" w:rsidP="003C2DE9">
      <w:pPr>
        <w:spacing w:before="0" w:after="0"/>
      </w:pPr>
      <w:r>
        <w:separator/>
      </w:r>
    </w:p>
  </w:endnote>
  <w:endnote w:type="continuationSeparator" w:id="0">
    <w:p w:rsidR="00794D1A" w:rsidRDefault="00794D1A" w:rsidP="003C2DE9">
      <w:pPr>
        <w:spacing w:before="0" w:after="0"/>
      </w:pPr>
      <w:r>
        <w:continuationSeparator/>
      </w:r>
    </w:p>
  </w:endnote>
  <w:endnote w:type="continuationNotice" w:id="1">
    <w:p w:rsidR="00794D1A" w:rsidRDefault="00794D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Univers"/>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1A" w:rsidRDefault="00794D1A" w:rsidP="003C2DE9">
      <w:pPr>
        <w:spacing w:before="0" w:after="0"/>
      </w:pPr>
      <w:r>
        <w:separator/>
      </w:r>
    </w:p>
  </w:footnote>
  <w:footnote w:type="continuationSeparator" w:id="0">
    <w:p w:rsidR="00794D1A" w:rsidRDefault="00794D1A" w:rsidP="003C2DE9">
      <w:pPr>
        <w:spacing w:before="0" w:after="0"/>
      </w:pPr>
      <w:r>
        <w:continuationSeparator/>
      </w:r>
    </w:p>
  </w:footnote>
  <w:footnote w:type="continuationNotice" w:id="1">
    <w:p w:rsidR="00794D1A" w:rsidRDefault="00794D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732" w:rsidRDefault="00F8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B1B"/>
    <w:multiLevelType w:val="multilevel"/>
    <w:tmpl w:val="3D5C4C5C"/>
    <w:lvl w:ilvl="0">
      <w:start w:val="1"/>
      <w:numFmt w:val="bullet"/>
      <w:lvlText w:val=""/>
      <w:lvlJc w:val="left"/>
      <w:pPr>
        <w:tabs>
          <w:tab w:val="num" w:pos="1080"/>
        </w:tabs>
        <w:ind w:left="1077" w:hanging="357"/>
      </w:pPr>
      <w:rPr>
        <w:rFonts w:ascii="Symbol" w:hAnsi="Symbol" w:hint="default"/>
        <w:b/>
        <w:i w:val="0"/>
        <w:sz w:val="20"/>
      </w:rPr>
    </w:lvl>
    <w:lvl w:ilvl="1">
      <w:start w:val="1"/>
      <w:numFmt w:val="lowerLetter"/>
      <w:lvlText w:val="%2."/>
      <w:lvlJc w:val="left"/>
      <w:pPr>
        <w:tabs>
          <w:tab w:val="num" w:pos="1440"/>
        </w:tabs>
        <w:ind w:left="1440" w:hanging="363"/>
      </w:pPr>
      <w:rPr>
        <w:rFonts w:ascii="Trebuchet MS" w:hAnsi="Trebuchet MS" w:cs="Trebuchet MS" w:hint="default"/>
        <w:b/>
        <w:bCs/>
        <w:i w:val="0"/>
        <w:iCs w:val="0"/>
        <w:sz w:val="20"/>
        <w:szCs w:val="20"/>
      </w:rPr>
    </w:lvl>
    <w:lvl w:ilvl="2">
      <w:start w:val="1"/>
      <w:numFmt w:val="lowerRoman"/>
      <w:lvlText w:val="%3."/>
      <w:lvlJc w:val="left"/>
      <w:pPr>
        <w:tabs>
          <w:tab w:val="num" w:pos="2160"/>
        </w:tabs>
        <w:ind w:left="1797" w:hanging="357"/>
      </w:pPr>
      <w:rPr>
        <w:rFonts w:ascii="Tahoma" w:hAnsi="Tahoma" w:cs="Tahoma" w:hint="default"/>
        <w:b/>
        <w:bCs w:val="0"/>
        <w:i w:val="0"/>
        <w:iCs w:val="0"/>
        <w:sz w:val="20"/>
        <w:szCs w:val="20"/>
      </w:rPr>
    </w:lvl>
    <w:lvl w:ilvl="3">
      <w:start w:val="1"/>
      <w:numFmt w:val="upperLetter"/>
      <w:lvlText w:val="%4."/>
      <w:lvlJc w:val="left"/>
      <w:pPr>
        <w:tabs>
          <w:tab w:val="num" w:pos="2157"/>
        </w:tabs>
        <w:ind w:left="215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875"/>
        </w:tabs>
        <w:ind w:left="251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872"/>
        </w:tabs>
        <w:ind w:left="286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3229"/>
        </w:tabs>
        <w:ind w:left="3226" w:hanging="357"/>
      </w:pPr>
      <w:rPr>
        <w:rFonts w:ascii="Trebuchet MS" w:hAnsi="Trebuchet MS" w:cs="Trebuchet MS" w:hint="default"/>
        <w:b w:val="0"/>
        <w:bCs w:val="0"/>
        <w:i w:val="0"/>
        <w:iCs w:val="0"/>
        <w:sz w:val="20"/>
        <w:szCs w:val="20"/>
      </w:rPr>
    </w:lvl>
    <w:lvl w:ilvl="7">
      <w:start w:val="1"/>
      <w:numFmt w:val="none"/>
      <w:lvlText w:val="i."/>
      <w:lvlJc w:val="left"/>
      <w:pPr>
        <w:tabs>
          <w:tab w:val="num" w:pos="3586"/>
        </w:tabs>
        <w:ind w:left="3583" w:hanging="357"/>
      </w:pPr>
      <w:rPr>
        <w:rFonts w:ascii="Trebuchet MS" w:hAnsi="Trebuchet MS" w:cs="Trebuchet MS" w:hint="default"/>
        <w:b w:val="0"/>
        <w:bCs w:val="0"/>
        <w:i w:val="0"/>
        <w:iCs w:val="0"/>
        <w:sz w:val="20"/>
        <w:szCs w:val="20"/>
      </w:rPr>
    </w:lvl>
    <w:lvl w:ilvl="8">
      <w:start w:val="1"/>
      <w:numFmt w:val="none"/>
      <w:lvlText w:val="A."/>
      <w:lvlJc w:val="left"/>
      <w:pPr>
        <w:tabs>
          <w:tab w:val="num" w:pos="3943"/>
        </w:tabs>
        <w:ind w:left="3941" w:hanging="358"/>
      </w:pPr>
      <w:rPr>
        <w:rFonts w:ascii="Trebuchet MS" w:hAnsi="Trebuchet MS" w:cs="Trebuchet MS" w:hint="default"/>
        <w:b w:val="0"/>
        <w:bCs w:val="0"/>
        <w:i w:val="0"/>
        <w:iCs w:val="0"/>
        <w:sz w:val="20"/>
        <w:szCs w:val="20"/>
      </w:rPr>
    </w:lvl>
  </w:abstractNum>
  <w:abstractNum w:abstractNumId="1"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7716257C"/>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0658DFFA"/>
    <w:lvl w:ilvl="0">
      <w:start w:val="1"/>
      <w:numFmt w:val="bullet"/>
      <w:lvlText w:val=""/>
      <w:lvlJc w:val="left"/>
      <w:pPr>
        <w:tabs>
          <w:tab w:val="num" w:pos="717"/>
        </w:tabs>
        <w:ind w:left="714" w:hanging="357"/>
      </w:pPr>
      <w:rPr>
        <w:rFonts w:ascii="Symbol" w:hAnsi="Symbol"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21840C0F"/>
    <w:multiLevelType w:val="multilevel"/>
    <w:tmpl w:val="F7643AB2"/>
    <w:lvl w:ilvl="0">
      <w:start w:val="1"/>
      <w:numFmt w:val="decimal"/>
      <w:pStyle w:val="Heading1"/>
      <w:lvlText w:val="%1."/>
      <w:lvlJc w:val="left"/>
      <w:pPr>
        <w:tabs>
          <w:tab w:val="num" w:pos="360"/>
        </w:tabs>
        <w:ind w:left="357" w:hanging="357"/>
      </w:pPr>
      <w:rPr>
        <w:rFonts w:ascii="Tahoma" w:hAnsi="Tahoma" w:cs="Tahoma" w:hint="default"/>
        <w:b/>
        <w:bCs/>
        <w:i w:val="0"/>
        <w:iCs w:val="0"/>
        <w:strike w:val="0"/>
        <w:sz w:val="20"/>
        <w:szCs w:val="20"/>
      </w:rPr>
    </w:lvl>
    <w:lvl w:ilvl="1">
      <w:start w:val="1"/>
      <w:numFmt w:val="lowerLetter"/>
      <w:pStyle w:val="Heading2"/>
      <w:lvlText w:val="%2."/>
      <w:lvlJc w:val="left"/>
      <w:pPr>
        <w:tabs>
          <w:tab w:val="num" w:pos="993"/>
        </w:tabs>
        <w:ind w:left="99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2DC7C51"/>
    <w:multiLevelType w:val="hybridMultilevel"/>
    <w:tmpl w:val="299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481"/>
    <w:multiLevelType w:val="hybridMultilevel"/>
    <w:tmpl w:val="EE525D8A"/>
    <w:lvl w:ilvl="0" w:tplc="FD1EEC7E">
      <w:start w:val="1"/>
      <w:numFmt w:val="bullet"/>
      <w:pStyle w:val="Bullet8"/>
      <w:lvlText w:val=""/>
      <w:lvlJc w:val="left"/>
      <w:pPr>
        <w:tabs>
          <w:tab w:val="num" w:pos="2866"/>
        </w:tabs>
        <w:ind w:left="2863"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468F3"/>
    <w:multiLevelType w:val="multilevel"/>
    <w:tmpl w:val="DF12305C"/>
    <w:lvl w:ilvl="0">
      <w:start w:val="1"/>
      <w:numFmt w:val="bullet"/>
      <w:lvlText w:val=""/>
      <w:lvlJc w:val="left"/>
      <w:pPr>
        <w:ind w:left="504" w:hanging="216"/>
      </w:pPr>
      <w:rPr>
        <w:rFonts w:ascii="Symbol" w:hAnsi="Symbol" w:hint="default"/>
        <w:sz w:val="1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97327A"/>
    <w:multiLevelType w:val="multilevel"/>
    <w:tmpl w:val="EBFE080E"/>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47664814"/>
    <w:multiLevelType w:val="hybridMultilevel"/>
    <w:tmpl w:val="CE6EF494"/>
    <w:lvl w:ilvl="0" w:tplc="AB52E610">
      <w:start w:val="1"/>
      <w:numFmt w:val="decimal"/>
      <w:pStyle w:val="Heading2FrenchWarranty"/>
      <w:lvlText w:val="%1."/>
      <w:lvlJc w:val="left"/>
      <w:pPr>
        <w:tabs>
          <w:tab w:val="num" w:pos="360"/>
        </w:tabs>
        <w:ind w:left="72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8AF20BF"/>
    <w:multiLevelType w:val="hybridMultilevel"/>
    <w:tmpl w:val="93E2E814"/>
    <w:lvl w:ilvl="0" w:tplc="7932E03A">
      <w:start w:val="1"/>
      <w:numFmt w:val="bullet"/>
      <w:pStyle w:val="Bullet7"/>
      <w:lvlText w:val=""/>
      <w:lvlJc w:val="left"/>
      <w:pPr>
        <w:tabs>
          <w:tab w:val="num" w:pos="2509"/>
        </w:tabs>
        <w:ind w:left="2506"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D25D45"/>
    <w:multiLevelType w:val="hybridMultilevel"/>
    <w:tmpl w:val="3AB0C8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FF40F1A"/>
    <w:multiLevelType w:val="hybridMultilevel"/>
    <w:tmpl w:val="1238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440BD"/>
    <w:multiLevelType w:val="hybridMultilevel"/>
    <w:tmpl w:val="CC323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F4435A"/>
    <w:multiLevelType w:val="hybridMultilevel"/>
    <w:tmpl w:val="FD88DB7A"/>
    <w:lvl w:ilvl="0" w:tplc="B9EE6BD8">
      <w:start w:val="1"/>
      <w:numFmt w:val="bullet"/>
      <w:pStyle w:val="Bullet4"/>
      <w:lvlText w:val=""/>
      <w:lvlJc w:val="left"/>
      <w:pPr>
        <w:tabs>
          <w:tab w:val="num" w:pos="1437"/>
        </w:tabs>
        <w:ind w:left="1435"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06D6A"/>
    <w:multiLevelType w:val="hybridMultilevel"/>
    <w:tmpl w:val="D3AA996A"/>
    <w:lvl w:ilvl="0" w:tplc="494A1B90">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0"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56961"/>
    <w:multiLevelType w:val="multilevel"/>
    <w:tmpl w:val="0658DFFA"/>
    <w:lvl w:ilvl="0">
      <w:start w:val="1"/>
      <w:numFmt w:val="bullet"/>
      <w:lvlText w:val=""/>
      <w:lvlJc w:val="left"/>
      <w:pPr>
        <w:tabs>
          <w:tab w:val="num" w:pos="717"/>
        </w:tabs>
        <w:ind w:left="714" w:hanging="357"/>
      </w:pPr>
      <w:rPr>
        <w:rFonts w:ascii="Symbol" w:hAnsi="Symbol"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24" w15:restartNumberingAfterBreak="0">
    <w:nsid w:val="77652096"/>
    <w:multiLevelType w:val="hybridMultilevel"/>
    <w:tmpl w:val="4AAE8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770037"/>
    <w:multiLevelType w:val="hybridMultilevel"/>
    <w:tmpl w:val="46B4BC74"/>
    <w:lvl w:ilvl="0" w:tplc="467E9B6C">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5"/>
  </w:num>
  <w:num w:numId="2">
    <w:abstractNumId w:val="4"/>
  </w:num>
  <w:num w:numId="3">
    <w:abstractNumId w:val="18"/>
  </w:num>
  <w:num w:numId="4">
    <w:abstractNumId w:val="17"/>
  </w:num>
  <w:num w:numId="5">
    <w:abstractNumId w:val="21"/>
  </w:num>
  <w:num w:numId="6">
    <w:abstractNumId w:val="22"/>
  </w:num>
  <w:num w:numId="7">
    <w:abstractNumId w:val="13"/>
  </w:num>
  <w:num w:numId="8">
    <w:abstractNumId w:val="8"/>
  </w:num>
  <w:num w:numId="9">
    <w:abstractNumId w:val="1"/>
  </w:num>
  <w:num w:numId="10">
    <w:abstractNumId w:val="2"/>
  </w:num>
  <w:num w:numId="11">
    <w:abstractNumId w:val="20"/>
  </w:num>
  <w:num w:numId="12">
    <w:abstractNumId w:val="12"/>
  </w:num>
  <w:num w:numId="13">
    <w:abstractNumId w:val="6"/>
  </w:num>
  <w:num w:numId="14">
    <w:abstractNumId w:val="3"/>
  </w:num>
  <w:num w:numId="15">
    <w:abstractNumId w:val="15"/>
  </w:num>
  <w:num w:numId="16">
    <w:abstractNumId w:val="5"/>
  </w:num>
  <w:num w:numId="17">
    <w:abstractNumId w:val="23"/>
  </w:num>
  <w:num w:numId="18">
    <w:abstractNumId w:val="10"/>
  </w:num>
  <w:num w:numId="19">
    <w:abstractNumId w:val="9"/>
  </w:num>
  <w:num w:numId="20">
    <w:abstractNumId w:val="19"/>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14"/>
  </w:num>
  <w:num w:numId="26">
    <w:abstractNumId w:val="2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17"/>
  </w:num>
  <w:num w:numId="34">
    <w:abstractNumId w:val="6"/>
  </w:num>
  <w:num w:numId="35">
    <w:abstractNumId w:val="17"/>
  </w:num>
  <w:num w:numId="36">
    <w:abstractNumId w:val="6"/>
  </w:num>
  <w:num w:numId="37">
    <w:abstractNumId w:val="6"/>
  </w:num>
  <w:num w:numId="3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E9"/>
    <w:rsid w:val="000033EC"/>
    <w:rsid w:val="00004856"/>
    <w:rsid w:val="00017C56"/>
    <w:rsid w:val="0002425A"/>
    <w:rsid w:val="0002605D"/>
    <w:rsid w:val="00027224"/>
    <w:rsid w:val="0003366E"/>
    <w:rsid w:val="00033F7D"/>
    <w:rsid w:val="00040285"/>
    <w:rsid w:val="00043839"/>
    <w:rsid w:val="00052EBB"/>
    <w:rsid w:val="0005404F"/>
    <w:rsid w:val="00054311"/>
    <w:rsid w:val="00055039"/>
    <w:rsid w:val="00057836"/>
    <w:rsid w:val="00060318"/>
    <w:rsid w:val="00060AAA"/>
    <w:rsid w:val="00066752"/>
    <w:rsid w:val="00067D33"/>
    <w:rsid w:val="00073467"/>
    <w:rsid w:val="00073DDE"/>
    <w:rsid w:val="0007613F"/>
    <w:rsid w:val="00083307"/>
    <w:rsid w:val="00087CD9"/>
    <w:rsid w:val="00090444"/>
    <w:rsid w:val="00092D95"/>
    <w:rsid w:val="00096085"/>
    <w:rsid w:val="000A0D15"/>
    <w:rsid w:val="000A3C71"/>
    <w:rsid w:val="000A5BE8"/>
    <w:rsid w:val="000A7FB7"/>
    <w:rsid w:val="000C1754"/>
    <w:rsid w:val="000C4515"/>
    <w:rsid w:val="000C4BD7"/>
    <w:rsid w:val="000C6021"/>
    <w:rsid w:val="000D3B46"/>
    <w:rsid w:val="000D6803"/>
    <w:rsid w:val="000E09C8"/>
    <w:rsid w:val="000E2C1B"/>
    <w:rsid w:val="000E4EF8"/>
    <w:rsid w:val="000E4FD4"/>
    <w:rsid w:val="000F10B0"/>
    <w:rsid w:val="000F2756"/>
    <w:rsid w:val="000F4AC8"/>
    <w:rsid w:val="00100913"/>
    <w:rsid w:val="00104829"/>
    <w:rsid w:val="0010620D"/>
    <w:rsid w:val="0010698F"/>
    <w:rsid w:val="0011051D"/>
    <w:rsid w:val="0011116B"/>
    <w:rsid w:val="00114D15"/>
    <w:rsid w:val="00125F63"/>
    <w:rsid w:val="00134932"/>
    <w:rsid w:val="0013672F"/>
    <w:rsid w:val="0014406D"/>
    <w:rsid w:val="001466BA"/>
    <w:rsid w:val="00152BEF"/>
    <w:rsid w:val="00154FDC"/>
    <w:rsid w:val="00155909"/>
    <w:rsid w:val="0015668A"/>
    <w:rsid w:val="00161277"/>
    <w:rsid w:val="00165A02"/>
    <w:rsid w:val="00171F48"/>
    <w:rsid w:val="001744FD"/>
    <w:rsid w:val="001757F3"/>
    <w:rsid w:val="0018202B"/>
    <w:rsid w:val="00183FF4"/>
    <w:rsid w:val="001845B3"/>
    <w:rsid w:val="00190DEE"/>
    <w:rsid w:val="0019394B"/>
    <w:rsid w:val="001B04F1"/>
    <w:rsid w:val="001B06C6"/>
    <w:rsid w:val="001B2376"/>
    <w:rsid w:val="001C1619"/>
    <w:rsid w:val="001C1F5A"/>
    <w:rsid w:val="001C2DA6"/>
    <w:rsid w:val="001C2DE4"/>
    <w:rsid w:val="001C55D2"/>
    <w:rsid w:val="001D1F24"/>
    <w:rsid w:val="001D4884"/>
    <w:rsid w:val="001E0F91"/>
    <w:rsid w:val="001E194C"/>
    <w:rsid w:val="001E2A51"/>
    <w:rsid w:val="001E4979"/>
    <w:rsid w:val="001E5526"/>
    <w:rsid w:val="001E742A"/>
    <w:rsid w:val="001F01C4"/>
    <w:rsid w:val="001F16E5"/>
    <w:rsid w:val="001F3447"/>
    <w:rsid w:val="001F45AB"/>
    <w:rsid w:val="001F74C0"/>
    <w:rsid w:val="001F799B"/>
    <w:rsid w:val="00202653"/>
    <w:rsid w:val="002047BD"/>
    <w:rsid w:val="002058D9"/>
    <w:rsid w:val="002061BD"/>
    <w:rsid w:val="002124F1"/>
    <w:rsid w:val="002131F1"/>
    <w:rsid w:val="00215B75"/>
    <w:rsid w:val="00216A3E"/>
    <w:rsid w:val="002230FD"/>
    <w:rsid w:val="00230F5A"/>
    <w:rsid w:val="00231E97"/>
    <w:rsid w:val="00233DB3"/>
    <w:rsid w:val="00234402"/>
    <w:rsid w:val="002350CE"/>
    <w:rsid w:val="00241508"/>
    <w:rsid w:val="00243EBF"/>
    <w:rsid w:val="00244BC2"/>
    <w:rsid w:val="00244C9C"/>
    <w:rsid w:val="00247445"/>
    <w:rsid w:val="00250CCC"/>
    <w:rsid w:val="00253F61"/>
    <w:rsid w:val="002553DA"/>
    <w:rsid w:val="00255C30"/>
    <w:rsid w:val="00260D00"/>
    <w:rsid w:val="002619C9"/>
    <w:rsid w:val="002656BA"/>
    <w:rsid w:val="00266528"/>
    <w:rsid w:val="002674B7"/>
    <w:rsid w:val="002702B7"/>
    <w:rsid w:val="00270E8E"/>
    <w:rsid w:val="00271DE6"/>
    <w:rsid w:val="00272C82"/>
    <w:rsid w:val="00275277"/>
    <w:rsid w:val="0027754A"/>
    <w:rsid w:val="002778B9"/>
    <w:rsid w:val="00277C63"/>
    <w:rsid w:val="0028541D"/>
    <w:rsid w:val="00286990"/>
    <w:rsid w:val="00286C87"/>
    <w:rsid w:val="00290B81"/>
    <w:rsid w:val="0029381F"/>
    <w:rsid w:val="00297FBC"/>
    <w:rsid w:val="002A3637"/>
    <w:rsid w:val="002A52B9"/>
    <w:rsid w:val="002A5D3F"/>
    <w:rsid w:val="002B004B"/>
    <w:rsid w:val="002B3905"/>
    <w:rsid w:val="002B6B45"/>
    <w:rsid w:val="002C4FAD"/>
    <w:rsid w:val="002C75CC"/>
    <w:rsid w:val="002C7DB9"/>
    <w:rsid w:val="002D059D"/>
    <w:rsid w:val="002D0EE8"/>
    <w:rsid w:val="002D1B9D"/>
    <w:rsid w:val="002D39C9"/>
    <w:rsid w:val="002D4427"/>
    <w:rsid w:val="002D50B1"/>
    <w:rsid w:val="002D608E"/>
    <w:rsid w:val="002D6732"/>
    <w:rsid w:val="002E03FB"/>
    <w:rsid w:val="002E15C0"/>
    <w:rsid w:val="002E2EB2"/>
    <w:rsid w:val="002E69C2"/>
    <w:rsid w:val="002E6D5F"/>
    <w:rsid w:val="002E76AD"/>
    <w:rsid w:val="002F2C71"/>
    <w:rsid w:val="002F2EA0"/>
    <w:rsid w:val="002F5D58"/>
    <w:rsid w:val="0030084A"/>
    <w:rsid w:val="00302FA9"/>
    <w:rsid w:val="00304459"/>
    <w:rsid w:val="003066C0"/>
    <w:rsid w:val="003177EA"/>
    <w:rsid w:val="00317891"/>
    <w:rsid w:val="0032181D"/>
    <w:rsid w:val="00332858"/>
    <w:rsid w:val="0033480B"/>
    <w:rsid w:val="0034229D"/>
    <w:rsid w:val="00345753"/>
    <w:rsid w:val="00347567"/>
    <w:rsid w:val="00352D23"/>
    <w:rsid w:val="003558AE"/>
    <w:rsid w:val="00356513"/>
    <w:rsid w:val="00356BCF"/>
    <w:rsid w:val="00357B47"/>
    <w:rsid w:val="00357CA1"/>
    <w:rsid w:val="00361FC7"/>
    <w:rsid w:val="00366AF5"/>
    <w:rsid w:val="00371003"/>
    <w:rsid w:val="00372AC2"/>
    <w:rsid w:val="00377270"/>
    <w:rsid w:val="003831C5"/>
    <w:rsid w:val="003852E9"/>
    <w:rsid w:val="00385A5C"/>
    <w:rsid w:val="00386587"/>
    <w:rsid w:val="003903A1"/>
    <w:rsid w:val="003943F7"/>
    <w:rsid w:val="00395DE3"/>
    <w:rsid w:val="0039620B"/>
    <w:rsid w:val="003A0255"/>
    <w:rsid w:val="003A17C4"/>
    <w:rsid w:val="003A5497"/>
    <w:rsid w:val="003B0126"/>
    <w:rsid w:val="003B3479"/>
    <w:rsid w:val="003B35CC"/>
    <w:rsid w:val="003C203A"/>
    <w:rsid w:val="003C2DE9"/>
    <w:rsid w:val="003C4EF2"/>
    <w:rsid w:val="003C7930"/>
    <w:rsid w:val="003D2EAA"/>
    <w:rsid w:val="003D34C9"/>
    <w:rsid w:val="003D38C5"/>
    <w:rsid w:val="003D501B"/>
    <w:rsid w:val="003D55CB"/>
    <w:rsid w:val="003E031C"/>
    <w:rsid w:val="003E1822"/>
    <w:rsid w:val="003E30C1"/>
    <w:rsid w:val="003E4C87"/>
    <w:rsid w:val="003F0A37"/>
    <w:rsid w:val="003F18C4"/>
    <w:rsid w:val="003F2D8A"/>
    <w:rsid w:val="003F5A99"/>
    <w:rsid w:val="003F770F"/>
    <w:rsid w:val="003F7DD7"/>
    <w:rsid w:val="00402D2B"/>
    <w:rsid w:val="00404F3D"/>
    <w:rsid w:val="0040772D"/>
    <w:rsid w:val="00412559"/>
    <w:rsid w:val="00412A62"/>
    <w:rsid w:val="0042232D"/>
    <w:rsid w:val="00423316"/>
    <w:rsid w:val="00430F84"/>
    <w:rsid w:val="00435A5C"/>
    <w:rsid w:val="00440E75"/>
    <w:rsid w:val="00442444"/>
    <w:rsid w:val="00450C9A"/>
    <w:rsid w:val="004563C1"/>
    <w:rsid w:val="00462302"/>
    <w:rsid w:val="00463365"/>
    <w:rsid w:val="00463C3F"/>
    <w:rsid w:val="00471315"/>
    <w:rsid w:val="004717AB"/>
    <w:rsid w:val="00471E21"/>
    <w:rsid w:val="00475E9D"/>
    <w:rsid w:val="004767F2"/>
    <w:rsid w:val="00476ECA"/>
    <w:rsid w:val="00477474"/>
    <w:rsid w:val="00480A78"/>
    <w:rsid w:val="004846A4"/>
    <w:rsid w:val="00484C9B"/>
    <w:rsid w:val="00492E25"/>
    <w:rsid w:val="004A08FD"/>
    <w:rsid w:val="004A0A6C"/>
    <w:rsid w:val="004A2AA2"/>
    <w:rsid w:val="004A2DF6"/>
    <w:rsid w:val="004A6178"/>
    <w:rsid w:val="004B040D"/>
    <w:rsid w:val="004B1E86"/>
    <w:rsid w:val="004B34DD"/>
    <w:rsid w:val="004B4C0F"/>
    <w:rsid w:val="004B6398"/>
    <w:rsid w:val="004B7CD9"/>
    <w:rsid w:val="004C1E96"/>
    <w:rsid w:val="004C3590"/>
    <w:rsid w:val="004C5432"/>
    <w:rsid w:val="004C6AA8"/>
    <w:rsid w:val="004D52A7"/>
    <w:rsid w:val="004D6B70"/>
    <w:rsid w:val="004E295D"/>
    <w:rsid w:val="004F2F76"/>
    <w:rsid w:val="004F4299"/>
    <w:rsid w:val="004F4A57"/>
    <w:rsid w:val="004F588F"/>
    <w:rsid w:val="00500457"/>
    <w:rsid w:val="00500671"/>
    <w:rsid w:val="00502D63"/>
    <w:rsid w:val="00506C39"/>
    <w:rsid w:val="005104A9"/>
    <w:rsid w:val="005116E6"/>
    <w:rsid w:val="005133AE"/>
    <w:rsid w:val="0052193C"/>
    <w:rsid w:val="00521BDE"/>
    <w:rsid w:val="00523338"/>
    <w:rsid w:val="005240B3"/>
    <w:rsid w:val="00524743"/>
    <w:rsid w:val="0053235F"/>
    <w:rsid w:val="00536E25"/>
    <w:rsid w:val="005436C2"/>
    <w:rsid w:val="005476D7"/>
    <w:rsid w:val="00551F8B"/>
    <w:rsid w:val="00553D0E"/>
    <w:rsid w:val="00557B20"/>
    <w:rsid w:val="005645B3"/>
    <w:rsid w:val="00567B54"/>
    <w:rsid w:val="005721A3"/>
    <w:rsid w:val="005742F1"/>
    <w:rsid w:val="00575A66"/>
    <w:rsid w:val="005774AA"/>
    <w:rsid w:val="0057758F"/>
    <w:rsid w:val="00582C6D"/>
    <w:rsid w:val="005842F0"/>
    <w:rsid w:val="00584A4B"/>
    <w:rsid w:val="00585531"/>
    <w:rsid w:val="0058582B"/>
    <w:rsid w:val="005912D8"/>
    <w:rsid w:val="005A058E"/>
    <w:rsid w:val="005A2742"/>
    <w:rsid w:val="005A2755"/>
    <w:rsid w:val="005A7E92"/>
    <w:rsid w:val="005B266A"/>
    <w:rsid w:val="005B4939"/>
    <w:rsid w:val="005B59C1"/>
    <w:rsid w:val="005C3493"/>
    <w:rsid w:val="005C34DE"/>
    <w:rsid w:val="005C35C2"/>
    <w:rsid w:val="005D090F"/>
    <w:rsid w:val="005D3815"/>
    <w:rsid w:val="005D5AB9"/>
    <w:rsid w:val="005E0908"/>
    <w:rsid w:val="005E66CB"/>
    <w:rsid w:val="005F3DF3"/>
    <w:rsid w:val="005F3EDD"/>
    <w:rsid w:val="005F7C07"/>
    <w:rsid w:val="00601282"/>
    <w:rsid w:val="00604BD4"/>
    <w:rsid w:val="0060554C"/>
    <w:rsid w:val="00606AF2"/>
    <w:rsid w:val="00610E59"/>
    <w:rsid w:val="00614B0B"/>
    <w:rsid w:val="00621816"/>
    <w:rsid w:val="006224A9"/>
    <w:rsid w:val="00622DA8"/>
    <w:rsid w:val="006242AF"/>
    <w:rsid w:val="00624EB8"/>
    <w:rsid w:val="00625364"/>
    <w:rsid w:val="0063282F"/>
    <w:rsid w:val="006336BA"/>
    <w:rsid w:val="006407A4"/>
    <w:rsid w:val="00643088"/>
    <w:rsid w:val="00643D28"/>
    <w:rsid w:val="006444A3"/>
    <w:rsid w:val="006468E6"/>
    <w:rsid w:val="00654356"/>
    <w:rsid w:val="00655210"/>
    <w:rsid w:val="006605BE"/>
    <w:rsid w:val="006630B9"/>
    <w:rsid w:val="00666209"/>
    <w:rsid w:val="00667EF3"/>
    <w:rsid w:val="006718FA"/>
    <w:rsid w:val="00675C54"/>
    <w:rsid w:val="00677CCC"/>
    <w:rsid w:val="00681798"/>
    <w:rsid w:val="0068420D"/>
    <w:rsid w:val="006864ED"/>
    <w:rsid w:val="0069557B"/>
    <w:rsid w:val="00695612"/>
    <w:rsid w:val="006965C5"/>
    <w:rsid w:val="006A0A78"/>
    <w:rsid w:val="006A2454"/>
    <w:rsid w:val="006A2FA3"/>
    <w:rsid w:val="006A4C79"/>
    <w:rsid w:val="006A6332"/>
    <w:rsid w:val="006A68F8"/>
    <w:rsid w:val="006B1025"/>
    <w:rsid w:val="006B6C06"/>
    <w:rsid w:val="006B791C"/>
    <w:rsid w:val="006C0DC6"/>
    <w:rsid w:val="006C5838"/>
    <w:rsid w:val="006D42DF"/>
    <w:rsid w:val="006D5C52"/>
    <w:rsid w:val="006D7518"/>
    <w:rsid w:val="006E26BF"/>
    <w:rsid w:val="006E4CC1"/>
    <w:rsid w:val="006F43CD"/>
    <w:rsid w:val="006F698D"/>
    <w:rsid w:val="0070077E"/>
    <w:rsid w:val="007007E8"/>
    <w:rsid w:val="00700893"/>
    <w:rsid w:val="00705F9B"/>
    <w:rsid w:val="007071A8"/>
    <w:rsid w:val="00713192"/>
    <w:rsid w:val="00713326"/>
    <w:rsid w:val="007150C5"/>
    <w:rsid w:val="00715142"/>
    <w:rsid w:val="007166AB"/>
    <w:rsid w:val="00717037"/>
    <w:rsid w:val="0071708E"/>
    <w:rsid w:val="00721BA6"/>
    <w:rsid w:val="00721E2F"/>
    <w:rsid w:val="007221C6"/>
    <w:rsid w:val="00724D6B"/>
    <w:rsid w:val="00742D87"/>
    <w:rsid w:val="0074321A"/>
    <w:rsid w:val="0074773B"/>
    <w:rsid w:val="00753122"/>
    <w:rsid w:val="00753798"/>
    <w:rsid w:val="00756A22"/>
    <w:rsid w:val="00767F8E"/>
    <w:rsid w:val="00770825"/>
    <w:rsid w:val="00774682"/>
    <w:rsid w:val="007767E2"/>
    <w:rsid w:val="0078113A"/>
    <w:rsid w:val="00781A37"/>
    <w:rsid w:val="00783D98"/>
    <w:rsid w:val="00786B89"/>
    <w:rsid w:val="00787719"/>
    <w:rsid w:val="007877BB"/>
    <w:rsid w:val="007906C6"/>
    <w:rsid w:val="00790932"/>
    <w:rsid w:val="00794D1A"/>
    <w:rsid w:val="00794DD5"/>
    <w:rsid w:val="0079653C"/>
    <w:rsid w:val="007977F3"/>
    <w:rsid w:val="007A0964"/>
    <w:rsid w:val="007A5D1D"/>
    <w:rsid w:val="007B1D6E"/>
    <w:rsid w:val="007B393B"/>
    <w:rsid w:val="007B7A8B"/>
    <w:rsid w:val="007C39F0"/>
    <w:rsid w:val="007C46AC"/>
    <w:rsid w:val="007C4DF6"/>
    <w:rsid w:val="007C5518"/>
    <w:rsid w:val="007C7409"/>
    <w:rsid w:val="007C7E5D"/>
    <w:rsid w:val="007D3D13"/>
    <w:rsid w:val="007D432C"/>
    <w:rsid w:val="007E1B9B"/>
    <w:rsid w:val="007E2960"/>
    <w:rsid w:val="007E2ECA"/>
    <w:rsid w:val="007E38C1"/>
    <w:rsid w:val="007F0AFD"/>
    <w:rsid w:val="007F6296"/>
    <w:rsid w:val="007F6973"/>
    <w:rsid w:val="007F6B55"/>
    <w:rsid w:val="00804A81"/>
    <w:rsid w:val="00804B81"/>
    <w:rsid w:val="00817FCF"/>
    <w:rsid w:val="0082107B"/>
    <w:rsid w:val="0082164C"/>
    <w:rsid w:val="00821C65"/>
    <w:rsid w:val="008235E2"/>
    <w:rsid w:val="00825661"/>
    <w:rsid w:val="00827800"/>
    <w:rsid w:val="00830825"/>
    <w:rsid w:val="008320E3"/>
    <w:rsid w:val="00834F5B"/>
    <w:rsid w:val="00836226"/>
    <w:rsid w:val="00837152"/>
    <w:rsid w:val="00840239"/>
    <w:rsid w:val="00861434"/>
    <w:rsid w:val="00864C5D"/>
    <w:rsid w:val="008662EC"/>
    <w:rsid w:val="0087214B"/>
    <w:rsid w:val="00877F4F"/>
    <w:rsid w:val="00882C88"/>
    <w:rsid w:val="008839AB"/>
    <w:rsid w:val="0088631F"/>
    <w:rsid w:val="0088665E"/>
    <w:rsid w:val="008874DA"/>
    <w:rsid w:val="00887882"/>
    <w:rsid w:val="008956F3"/>
    <w:rsid w:val="008A2BC4"/>
    <w:rsid w:val="008A5518"/>
    <w:rsid w:val="008A5629"/>
    <w:rsid w:val="008A5EF9"/>
    <w:rsid w:val="008B3485"/>
    <w:rsid w:val="008B5B04"/>
    <w:rsid w:val="008B728C"/>
    <w:rsid w:val="008C2558"/>
    <w:rsid w:val="008C2C90"/>
    <w:rsid w:val="008C730E"/>
    <w:rsid w:val="008D4F15"/>
    <w:rsid w:val="008E4009"/>
    <w:rsid w:val="008F1A70"/>
    <w:rsid w:val="008F1EC9"/>
    <w:rsid w:val="008F2EE7"/>
    <w:rsid w:val="008F6BDD"/>
    <w:rsid w:val="0090016B"/>
    <w:rsid w:val="009006AC"/>
    <w:rsid w:val="00902398"/>
    <w:rsid w:val="0090257F"/>
    <w:rsid w:val="00902C96"/>
    <w:rsid w:val="00902F81"/>
    <w:rsid w:val="009049E6"/>
    <w:rsid w:val="0090620F"/>
    <w:rsid w:val="00906F31"/>
    <w:rsid w:val="00907F9A"/>
    <w:rsid w:val="00910093"/>
    <w:rsid w:val="00912337"/>
    <w:rsid w:val="00913E80"/>
    <w:rsid w:val="0092121C"/>
    <w:rsid w:val="00922EA3"/>
    <w:rsid w:val="00923044"/>
    <w:rsid w:val="00923842"/>
    <w:rsid w:val="00923FC6"/>
    <w:rsid w:val="0092772C"/>
    <w:rsid w:val="00932164"/>
    <w:rsid w:val="0093451C"/>
    <w:rsid w:val="0093564D"/>
    <w:rsid w:val="00936BD5"/>
    <w:rsid w:val="00937D00"/>
    <w:rsid w:val="00947C67"/>
    <w:rsid w:val="009519D5"/>
    <w:rsid w:val="009525E3"/>
    <w:rsid w:val="00952652"/>
    <w:rsid w:val="0095399A"/>
    <w:rsid w:val="00957282"/>
    <w:rsid w:val="009617CD"/>
    <w:rsid w:val="00961F02"/>
    <w:rsid w:val="009626C4"/>
    <w:rsid w:val="009667BE"/>
    <w:rsid w:val="009717C5"/>
    <w:rsid w:val="00972B5B"/>
    <w:rsid w:val="00972B8A"/>
    <w:rsid w:val="00987E65"/>
    <w:rsid w:val="00991C00"/>
    <w:rsid w:val="00995441"/>
    <w:rsid w:val="00997A24"/>
    <w:rsid w:val="009A6A09"/>
    <w:rsid w:val="009B2CBE"/>
    <w:rsid w:val="009B31E8"/>
    <w:rsid w:val="009B3911"/>
    <w:rsid w:val="009B60DD"/>
    <w:rsid w:val="009B7E14"/>
    <w:rsid w:val="009C1462"/>
    <w:rsid w:val="009C1CC1"/>
    <w:rsid w:val="009C3DAF"/>
    <w:rsid w:val="009C6C9C"/>
    <w:rsid w:val="009D08FC"/>
    <w:rsid w:val="009D0C8E"/>
    <w:rsid w:val="009D33B4"/>
    <w:rsid w:val="009E0193"/>
    <w:rsid w:val="009E7173"/>
    <w:rsid w:val="009F27AF"/>
    <w:rsid w:val="00A03E0B"/>
    <w:rsid w:val="00A05D2E"/>
    <w:rsid w:val="00A062B6"/>
    <w:rsid w:val="00A100C7"/>
    <w:rsid w:val="00A10441"/>
    <w:rsid w:val="00A114CB"/>
    <w:rsid w:val="00A15FE9"/>
    <w:rsid w:val="00A211C6"/>
    <w:rsid w:val="00A21541"/>
    <w:rsid w:val="00A22B69"/>
    <w:rsid w:val="00A22FCC"/>
    <w:rsid w:val="00A26572"/>
    <w:rsid w:val="00A30265"/>
    <w:rsid w:val="00A30398"/>
    <w:rsid w:val="00A311DE"/>
    <w:rsid w:val="00A31924"/>
    <w:rsid w:val="00A31C77"/>
    <w:rsid w:val="00A328E8"/>
    <w:rsid w:val="00A3291C"/>
    <w:rsid w:val="00A33EDD"/>
    <w:rsid w:val="00A41E3B"/>
    <w:rsid w:val="00A4579B"/>
    <w:rsid w:val="00A4768B"/>
    <w:rsid w:val="00A526EA"/>
    <w:rsid w:val="00A5751C"/>
    <w:rsid w:val="00A6245E"/>
    <w:rsid w:val="00A640BB"/>
    <w:rsid w:val="00A657A5"/>
    <w:rsid w:val="00A662EC"/>
    <w:rsid w:val="00A70C8A"/>
    <w:rsid w:val="00A74B70"/>
    <w:rsid w:val="00A83FE6"/>
    <w:rsid w:val="00A862E3"/>
    <w:rsid w:val="00A9132C"/>
    <w:rsid w:val="00A942D7"/>
    <w:rsid w:val="00A95331"/>
    <w:rsid w:val="00AA333A"/>
    <w:rsid w:val="00AA3347"/>
    <w:rsid w:val="00AA45AF"/>
    <w:rsid w:val="00AA5563"/>
    <w:rsid w:val="00AA68AA"/>
    <w:rsid w:val="00AA761C"/>
    <w:rsid w:val="00AA7AC7"/>
    <w:rsid w:val="00AA7B45"/>
    <w:rsid w:val="00AB60B7"/>
    <w:rsid w:val="00AB7679"/>
    <w:rsid w:val="00AC1FA7"/>
    <w:rsid w:val="00AC5A25"/>
    <w:rsid w:val="00AC6809"/>
    <w:rsid w:val="00AD1C2D"/>
    <w:rsid w:val="00AE3511"/>
    <w:rsid w:val="00AE4C6E"/>
    <w:rsid w:val="00AE602D"/>
    <w:rsid w:val="00AE6FC8"/>
    <w:rsid w:val="00AF6E5D"/>
    <w:rsid w:val="00AF750D"/>
    <w:rsid w:val="00AF7937"/>
    <w:rsid w:val="00B01285"/>
    <w:rsid w:val="00B044C9"/>
    <w:rsid w:val="00B04B4A"/>
    <w:rsid w:val="00B04B8A"/>
    <w:rsid w:val="00B059F4"/>
    <w:rsid w:val="00B074C0"/>
    <w:rsid w:val="00B14223"/>
    <w:rsid w:val="00B16D53"/>
    <w:rsid w:val="00B21C8C"/>
    <w:rsid w:val="00B242FA"/>
    <w:rsid w:val="00B25FCB"/>
    <w:rsid w:val="00B274EB"/>
    <w:rsid w:val="00B30B9F"/>
    <w:rsid w:val="00B3737F"/>
    <w:rsid w:val="00B46755"/>
    <w:rsid w:val="00B5142D"/>
    <w:rsid w:val="00B51BE7"/>
    <w:rsid w:val="00B54C7C"/>
    <w:rsid w:val="00B56617"/>
    <w:rsid w:val="00B57544"/>
    <w:rsid w:val="00B65679"/>
    <w:rsid w:val="00B67FDB"/>
    <w:rsid w:val="00B737DD"/>
    <w:rsid w:val="00B7523C"/>
    <w:rsid w:val="00B776DC"/>
    <w:rsid w:val="00B80B21"/>
    <w:rsid w:val="00B84954"/>
    <w:rsid w:val="00B913BC"/>
    <w:rsid w:val="00B92153"/>
    <w:rsid w:val="00B92265"/>
    <w:rsid w:val="00B92422"/>
    <w:rsid w:val="00B932EA"/>
    <w:rsid w:val="00BA0E91"/>
    <w:rsid w:val="00BA4FCD"/>
    <w:rsid w:val="00BA76A8"/>
    <w:rsid w:val="00BB0990"/>
    <w:rsid w:val="00BB21CA"/>
    <w:rsid w:val="00BB4843"/>
    <w:rsid w:val="00BC06E5"/>
    <w:rsid w:val="00BC2C89"/>
    <w:rsid w:val="00BC387F"/>
    <w:rsid w:val="00BC42F2"/>
    <w:rsid w:val="00BD0005"/>
    <w:rsid w:val="00BE0B45"/>
    <w:rsid w:val="00BE6F4D"/>
    <w:rsid w:val="00BE7166"/>
    <w:rsid w:val="00BE73C6"/>
    <w:rsid w:val="00BF087B"/>
    <w:rsid w:val="00C0027D"/>
    <w:rsid w:val="00C0075F"/>
    <w:rsid w:val="00C01436"/>
    <w:rsid w:val="00C03FFE"/>
    <w:rsid w:val="00C044E8"/>
    <w:rsid w:val="00C05E9A"/>
    <w:rsid w:val="00C06F85"/>
    <w:rsid w:val="00C12D8F"/>
    <w:rsid w:val="00C22C1F"/>
    <w:rsid w:val="00C25564"/>
    <w:rsid w:val="00C27609"/>
    <w:rsid w:val="00C316E5"/>
    <w:rsid w:val="00C31D7A"/>
    <w:rsid w:val="00C333D5"/>
    <w:rsid w:val="00C432C4"/>
    <w:rsid w:val="00C44AFE"/>
    <w:rsid w:val="00C44EDD"/>
    <w:rsid w:val="00C47794"/>
    <w:rsid w:val="00C47D1D"/>
    <w:rsid w:val="00C51643"/>
    <w:rsid w:val="00C57A04"/>
    <w:rsid w:val="00C6045C"/>
    <w:rsid w:val="00C65A98"/>
    <w:rsid w:val="00C7225D"/>
    <w:rsid w:val="00C750F4"/>
    <w:rsid w:val="00C77A3A"/>
    <w:rsid w:val="00C8152F"/>
    <w:rsid w:val="00C81831"/>
    <w:rsid w:val="00C81C86"/>
    <w:rsid w:val="00C86DCE"/>
    <w:rsid w:val="00C95757"/>
    <w:rsid w:val="00C96E8A"/>
    <w:rsid w:val="00C9768D"/>
    <w:rsid w:val="00C977F7"/>
    <w:rsid w:val="00CA08E2"/>
    <w:rsid w:val="00CA58E1"/>
    <w:rsid w:val="00CB0518"/>
    <w:rsid w:val="00CB0AA7"/>
    <w:rsid w:val="00CC0F17"/>
    <w:rsid w:val="00CC2E2B"/>
    <w:rsid w:val="00CC3586"/>
    <w:rsid w:val="00CC4B27"/>
    <w:rsid w:val="00CC50E7"/>
    <w:rsid w:val="00CD2469"/>
    <w:rsid w:val="00CD3CF0"/>
    <w:rsid w:val="00CE0732"/>
    <w:rsid w:val="00CE6053"/>
    <w:rsid w:val="00CF1365"/>
    <w:rsid w:val="00CF1B21"/>
    <w:rsid w:val="00CF2751"/>
    <w:rsid w:val="00CF4D95"/>
    <w:rsid w:val="00CF737A"/>
    <w:rsid w:val="00CF73DE"/>
    <w:rsid w:val="00D02CFE"/>
    <w:rsid w:val="00D03EF4"/>
    <w:rsid w:val="00D10547"/>
    <w:rsid w:val="00D10BA9"/>
    <w:rsid w:val="00D10C7D"/>
    <w:rsid w:val="00D16882"/>
    <w:rsid w:val="00D200A9"/>
    <w:rsid w:val="00D21FBD"/>
    <w:rsid w:val="00D26F66"/>
    <w:rsid w:val="00D27198"/>
    <w:rsid w:val="00D312F8"/>
    <w:rsid w:val="00D314FB"/>
    <w:rsid w:val="00D322CE"/>
    <w:rsid w:val="00D330AE"/>
    <w:rsid w:val="00D333E9"/>
    <w:rsid w:val="00D342CB"/>
    <w:rsid w:val="00D3492E"/>
    <w:rsid w:val="00D37231"/>
    <w:rsid w:val="00D4053E"/>
    <w:rsid w:val="00D40637"/>
    <w:rsid w:val="00D40765"/>
    <w:rsid w:val="00D46389"/>
    <w:rsid w:val="00D464EA"/>
    <w:rsid w:val="00D53580"/>
    <w:rsid w:val="00D63E00"/>
    <w:rsid w:val="00D64441"/>
    <w:rsid w:val="00D64F0D"/>
    <w:rsid w:val="00D6501D"/>
    <w:rsid w:val="00D7410F"/>
    <w:rsid w:val="00D769E6"/>
    <w:rsid w:val="00D77801"/>
    <w:rsid w:val="00D814D9"/>
    <w:rsid w:val="00D83D5C"/>
    <w:rsid w:val="00D86916"/>
    <w:rsid w:val="00D9111E"/>
    <w:rsid w:val="00D92289"/>
    <w:rsid w:val="00D970C1"/>
    <w:rsid w:val="00DA10AC"/>
    <w:rsid w:val="00DB0ABA"/>
    <w:rsid w:val="00DC1771"/>
    <w:rsid w:val="00DD0623"/>
    <w:rsid w:val="00DD16A0"/>
    <w:rsid w:val="00DD586F"/>
    <w:rsid w:val="00DD779A"/>
    <w:rsid w:val="00DD780C"/>
    <w:rsid w:val="00DE3295"/>
    <w:rsid w:val="00DF1152"/>
    <w:rsid w:val="00DF615B"/>
    <w:rsid w:val="00E012B8"/>
    <w:rsid w:val="00E078FC"/>
    <w:rsid w:val="00E1084E"/>
    <w:rsid w:val="00E13613"/>
    <w:rsid w:val="00E152E2"/>
    <w:rsid w:val="00E20B5A"/>
    <w:rsid w:val="00E23E85"/>
    <w:rsid w:val="00E254EC"/>
    <w:rsid w:val="00E26D55"/>
    <w:rsid w:val="00E274A6"/>
    <w:rsid w:val="00E346DC"/>
    <w:rsid w:val="00E34D8C"/>
    <w:rsid w:val="00E35600"/>
    <w:rsid w:val="00E35688"/>
    <w:rsid w:val="00E358E0"/>
    <w:rsid w:val="00E365AE"/>
    <w:rsid w:val="00E36D36"/>
    <w:rsid w:val="00E449FE"/>
    <w:rsid w:val="00E501F9"/>
    <w:rsid w:val="00E50CA2"/>
    <w:rsid w:val="00E53467"/>
    <w:rsid w:val="00E55AFC"/>
    <w:rsid w:val="00E614F6"/>
    <w:rsid w:val="00E619F3"/>
    <w:rsid w:val="00E640C9"/>
    <w:rsid w:val="00E64F29"/>
    <w:rsid w:val="00E64FC2"/>
    <w:rsid w:val="00E6702E"/>
    <w:rsid w:val="00E7095B"/>
    <w:rsid w:val="00E70D83"/>
    <w:rsid w:val="00E72883"/>
    <w:rsid w:val="00E8063D"/>
    <w:rsid w:val="00E82887"/>
    <w:rsid w:val="00E84C5B"/>
    <w:rsid w:val="00E8503D"/>
    <w:rsid w:val="00E85A73"/>
    <w:rsid w:val="00E87C51"/>
    <w:rsid w:val="00E92217"/>
    <w:rsid w:val="00E94C79"/>
    <w:rsid w:val="00E97816"/>
    <w:rsid w:val="00E97C2E"/>
    <w:rsid w:val="00EB57F3"/>
    <w:rsid w:val="00EB71BC"/>
    <w:rsid w:val="00EC1BE3"/>
    <w:rsid w:val="00ED016B"/>
    <w:rsid w:val="00ED1846"/>
    <w:rsid w:val="00ED5F04"/>
    <w:rsid w:val="00EE1B0E"/>
    <w:rsid w:val="00EE2B30"/>
    <w:rsid w:val="00EE5A3D"/>
    <w:rsid w:val="00EE6D76"/>
    <w:rsid w:val="00EE6F16"/>
    <w:rsid w:val="00EF0152"/>
    <w:rsid w:val="00EF73DF"/>
    <w:rsid w:val="00F01D0D"/>
    <w:rsid w:val="00F07D42"/>
    <w:rsid w:val="00F10699"/>
    <w:rsid w:val="00F14525"/>
    <w:rsid w:val="00F15BB7"/>
    <w:rsid w:val="00F17D9C"/>
    <w:rsid w:val="00F222AC"/>
    <w:rsid w:val="00F30182"/>
    <w:rsid w:val="00F37C3F"/>
    <w:rsid w:val="00F478E6"/>
    <w:rsid w:val="00F47A24"/>
    <w:rsid w:val="00F47F80"/>
    <w:rsid w:val="00F5064A"/>
    <w:rsid w:val="00F5264E"/>
    <w:rsid w:val="00F54850"/>
    <w:rsid w:val="00F666CE"/>
    <w:rsid w:val="00F70805"/>
    <w:rsid w:val="00F77E85"/>
    <w:rsid w:val="00F83732"/>
    <w:rsid w:val="00F841A0"/>
    <w:rsid w:val="00F857FD"/>
    <w:rsid w:val="00F8649D"/>
    <w:rsid w:val="00F908FD"/>
    <w:rsid w:val="00F91B58"/>
    <w:rsid w:val="00F943C5"/>
    <w:rsid w:val="00FA5D80"/>
    <w:rsid w:val="00FB08CB"/>
    <w:rsid w:val="00FB18FF"/>
    <w:rsid w:val="00FD3CAC"/>
    <w:rsid w:val="00FD49EB"/>
    <w:rsid w:val="00FD6E9B"/>
    <w:rsid w:val="00FE0F5D"/>
    <w:rsid w:val="00FE2A43"/>
    <w:rsid w:val="00FE2C29"/>
    <w:rsid w:val="00FE47D6"/>
    <w:rsid w:val="00FE6B8F"/>
    <w:rsid w:val="00FF2EFC"/>
    <w:rsid w:val="00FF5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71CE4D2-299C-415E-B80C-EB28EDD5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pt-BR"/>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3C2DE9"/>
    <w:pPr>
      <w:spacing w:before="120" w:after="120"/>
    </w:pPr>
    <w:rPr>
      <w:rFonts w:ascii="Tahoma" w:eastAsia="MS Mincho" w:hAnsi="Tahoma" w:cs="Tahoma"/>
      <w:sz w:val="19"/>
      <w:szCs w:val="19"/>
    </w:rPr>
  </w:style>
  <w:style w:type="paragraph" w:styleId="Heading1">
    <w:name w:val="heading 1"/>
    <w:basedOn w:val="Normal"/>
    <w:link w:val="Heading1Char"/>
    <w:uiPriority w:val="99"/>
    <w:qFormat/>
    <w:rsid w:val="003C2DE9"/>
    <w:pPr>
      <w:numPr>
        <w:numId w:val="13"/>
      </w:numPr>
      <w:outlineLvl w:val="0"/>
    </w:pPr>
    <w:rPr>
      <w:b/>
      <w:bCs/>
    </w:rPr>
  </w:style>
  <w:style w:type="paragraph" w:styleId="Heading2">
    <w:name w:val="heading 2"/>
    <w:basedOn w:val="Normal"/>
    <w:link w:val="Heading2Char"/>
    <w:uiPriority w:val="99"/>
    <w:qFormat/>
    <w:rsid w:val="003C2DE9"/>
    <w:pPr>
      <w:numPr>
        <w:ilvl w:val="1"/>
        <w:numId w:val="13"/>
      </w:numPr>
      <w:outlineLvl w:val="1"/>
    </w:pPr>
    <w:rPr>
      <w:b/>
      <w:bCs/>
    </w:rPr>
  </w:style>
  <w:style w:type="paragraph" w:styleId="Heading3">
    <w:name w:val="heading 3"/>
    <w:basedOn w:val="Normal"/>
    <w:link w:val="Heading3Char"/>
    <w:uiPriority w:val="99"/>
    <w:qFormat/>
    <w:rsid w:val="003C2DE9"/>
    <w:pPr>
      <w:numPr>
        <w:ilvl w:val="2"/>
        <w:numId w:val="13"/>
      </w:numPr>
      <w:tabs>
        <w:tab w:val="left" w:pos="1077"/>
      </w:tabs>
      <w:outlineLvl w:val="2"/>
    </w:pPr>
  </w:style>
  <w:style w:type="paragraph" w:styleId="Heading4">
    <w:name w:val="heading 4"/>
    <w:basedOn w:val="Normal"/>
    <w:link w:val="Heading4Char"/>
    <w:uiPriority w:val="99"/>
    <w:qFormat/>
    <w:rsid w:val="003C2DE9"/>
    <w:pPr>
      <w:numPr>
        <w:ilvl w:val="3"/>
        <w:numId w:val="13"/>
      </w:numPr>
      <w:outlineLvl w:val="3"/>
    </w:pPr>
  </w:style>
  <w:style w:type="paragraph" w:styleId="Heading5">
    <w:name w:val="heading 5"/>
    <w:basedOn w:val="Normal"/>
    <w:link w:val="Heading5Char"/>
    <w:uiPriority w:val="99"/>
    <w:qFormat/>
    <w:rsid w:val="003C2DE9"/>
    <w:pPr>
      <w:numPr>
        <w:ilvl w:val="4"/>
        <w:numId w:val="13"/>
      </w:numPr>
      <w:tabs>
        <w:tab w:val="left" w:pos="1792"/>
      </w:tabs>
      <w:outlineLvl w:val="4"/>
    </w:pPr>
  </w:style>
  <w:style w:type="paragraph" w:styleId="Heading6">
    <w:name w:val="heading 6"/>
    <w:basedOn w:val="Normal"/>
    <w:link w:val="Heading6Char"/>
    <w:uiPriority w:val="99"/>
    <w:qFormat/>
    <w:rsid w:val="003C2DE9"/>
    <w:pPr>
      <w:numPr>
        <w:ilvl w:val="5"/>
        <w:numId w:val="13"/>
      </w:numPr>
      <w:outlineLvl w:val="5"/>
    </w:pPr>
  </w:style>
  <w:style w:type="paragraph" w:styleId="Heading7">
    <w:name w:val="heading 7"/>
    <w:basedOn w:val="Normal"/>
    <w:link w:val="Heading7Char"/>
    <w:uiPriority w:val="99"/>
    <w:qFormat/>
    <w:rsid w:val="003C2DE9"/>
    <w:pPr>
      <w:numPr>
        <w:ilvl w:val="6"/>
        <w:numId w:val="13"/>
      </w:numPr>
      <w:outlineLvl w:val="6"/>
    </w:pPr>
  </w:style>
  <w:style w:type="paragraph" w:styleId="Heading8">
    <w:name w:val="heading 8"/>
    <w:basedOn w:val="Normal"/>
    <w:link w:val="Heading8Char"/>
    <w:uiPriority w:val="99"/>
    <w:qFormat/>
    <w:rsid w:val="003C2DE9"/>
    <w:pPr>
      <w:numPr>
        <w:ilvl w:val="7"/>
        <w:numId w:val="13"/>
      </w:numPr>
      <w:outlineLvl w:val="7"/>
    </w:pPr>
  </w:style>
  <w:style w:type="paragraph" w:styleId="Heading9">
    <w:name w:val="heading 9"/>
    <w:basedOn w:val="Normal"/>
    <w:link w:val="Heading9Char"/>
    <w:uiPriority w:val="99"/>
    <w:qFormat/>
    <w:rsid w:val="003C2DE9"/>
    <w:pPr>
      <w:numPr>
        <w:ilvl w:val="8"/>
        <w:numId w:val="1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DE9"/>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3C2DE9"/>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3C2DE9"/>
    <w:rPr>
      <w:rFonts w:ascii="Tahoma" w:eastAsia="MS Mincho" w:hAnsi="Tahoma" w:cs="Tahoma"/>
      <w:sz w:val="19"/>
      <w:szCs w:val="19"/>
    </w:rPr>
  </w:style>
  <w:style w:type="character" w:customStyle="1" w:styleId="Heading4Char">
    <w:name w:val="Heading 4 Char"/>
    <w:basedOn w:val="DefaultParagraphFont"/>
    <w:link w:val="Heading4"/>
    <w:uiPriority w:val="99"/>
    <w:locked/>
    <w:rsid w:val="003C2DE9"/>
    <w:rPr>
      <w:rFonts w:ascii="Tahoma" w:eastAsia="MS Mincho" w:hAnsi="Tahoma" w:cs="Tahoma"/>
      <w:sz w:val="19"/>
      <w:szCs w:val="19"/>
    </w:rPr>
  </w:style>
  <w:style w:type="character" w:customStyle="1" w:styleId="Heading5Char">
    <w:name w:val="Heading 5 Char"/>
    <w:basedOn w:val="DefaultParagraphFont"/>
    <w:link w:val="Heading5"/>
    <w:uiPriority w:val="99"/>
    <w:locked/>
    <w:rsid w:val="003C2DE9"/>
    <w:rPr>
      <w:rFonts w:ascii="Tahoma" w:eastAsia="MS Mincho" w:hAnsi="Tahoma" w:cs="Tahoma"/>
      <w:sz w:val="19"/>
      <w:szCs w:val="19"/>
    </w:rPr>
  </w:style>
  <w:style w:type="character" w:customStyle="1" w:styleId="Heading6Char">
    <w:name w:val="Heading 6 Char"/>
    <w:basedOn w:val="DefaultParagraphFont"/>
    <w:link w:val="Heading6"/>
    <w:uiPriority w:val="99"/>
    <w:locked/>
    <w:rsid w:val="003C2DE9"/>
    <w:rPr>
      <w:rFonts w:ascii="Tahoma" w:eastAsia="MS Mincho" w:hAnsi="Tahoma" w:cs="Tahoma"/>
      <w:sz w:val="19"/>
      <w:szCs w:val="19"/>
    </w:rPr>
  </w:style>
  <w:style w:type="character" w:customStyle="1" w:styleId="Heading7Char">
    <w:name w:val="Heading 7 Char"/>
    <w:basedOn w:val="DefaultParagraphFont"/>
    <w:link w:val="Heading7"/>
    <w:uiPriority w:val="99"/>
    <w:locked/>
    <w:rsid w:val="003C2DE9"/>
    <w:rPr>
      <w:rFonts w:ascii="Tahoma" w:eastAsia="MS Mincho" w:hAnsi="Tahoma" w:cs="Tahoma"/>
      <w:sz w:val="19"/>
      <w:szCs w:val="19"/>
    </w:rPr>
  </w:style>
  <w:style w:type="character" w:customStyle="1" w:styleId="Heading8Char">
    <w:name w:val="Heading 8 Char"/>
    <w:basedOn w:val="DefaultParagraphFont"/>
    <w:link w:val="Heading8"/>
    <w:uiPriority w:val="99"/>
    <w:locked/>
    <w:rsid w:val="003C2DE9"/>
    <w:rPr>
      <w:rFonts w:ascii="Tahoma" w:eastAsia="MS Mincho" w:hAnsi="Tahoma" w:cs="Tahoma"/>
      <w:sz w:val="19"/>
      <w:szCs w:val="19"/>
    </w:rPr>
  </w:style>
  <w:style w:type="character" w:customStyle="1" w:styleId="Heading9Char">
    <w:name w:val="Heading 9 Char"/>
    <w:basedOn w:val="DefaultParagraphFont"/>
    <w:link w:val="Heading9"/>
    <w:uiPriority w:val="99"/>
    <w:locked/>
    <w:rsid w:val="003C2DE9"/>
    <w:rPr>
      <w:rFonts w:ascii="Tahoma" w:eastAsia="MS Mincho" w:hAnsi="Tahoma" w:cs="Tahoma"/>
      <w:sz w:val="19"/>
      <w:szCs w:val="19"/>
    </w:rPr>
  </w:style>
  <w:style w:type="paragraph" w:customStyle="1" w:styleId="Body1">
    <w:name w:val="Body 1"/>
    <w:basedOn w:val="Normal"/>
    <w:link w:val="Body1Char1"/>
    <w:uiPriority w:val="99"/>
    <w:rsid w:val="003C2DE9"/>
    <w:pPr>
      <w:ind w:left="357"/>
    </w:pPr>
  </w:style>
  <w:style w:type="paragraph" w:customStyle="1" w:styleId="Body2">
    <w:name w:val="Body 2"/>
    <w:basedOn w:val="Normal"/>
    <w:rsid w:val="003C2DE9"/>
    <w:pPr>
      <w:ind w:left="720"/>
    </w:pPr>
  </w:style>
  <w:style w:type="paragraph" w:customStyle="1" w:styleId="Body3">
    <w:name w:val="Body 3"/>
    <w:basedOn w:val="Normal"/>
    <w:rsid w:val="003C2DE9"/>
    <w:pPr>
      <w:ind w:left="1077"/>
    </w:pPr>
  </w:style>
  <w:style w:type="paragraph" w:customStyle="1" w:styleId="Bullet1">
    <w:name w:val="Bullet 1"/>
    <w:basedOn w:val="Normal"/>
    <w:rsid w:val="003C2DE9"/>
    <w:pPr>
      <w:numPr>
        <w:numId w:val="1"/>
      </w:numPr>
    </w:pPr>
  </w:style>
  <w:style w:type="paragraph" w:customStyle="1" w:styleId="Bullet2">
    <w:name w:val="Bullet 2"/>
    <w:basedOn w:val="Normal"/>
    <w:uiPriority w:val="99"/>
    <w:rsid w:val="003C2DE9"/>
    <w:pPr>
      <w:numPr>
        <w:numId w:val="2"/>
      </w:numPr>
    </w:pPr>
  </w:style>
  <w:style w:type="paragraph" w:customStyle="1" w:styleId="Bullet3">
    <w:name w:val="Bullet 3"/>
    <w:basedOn w:val="Normal"/>
    <w:link w:val="Bullet3Char1"/>
    <w:uiPriority w:val="99"/>
    <w:rsid w:val="003C2DE9"/>
    <w:pPr>
      <w:numPr>
        <w:numId w:val="3"/>
      </w:numPr>
    </w:pPr>
  </w:style>
  <w:style w:type="paragraph" w:customStyle="1" w:styleId="Bullet4">
    <w:name w:val="Bullet 4"/>
    <w:basedOn w:val="Normal"/>
    <w:uiPriority w:val="99"/>
    <w:rsid w:val="003C2DE9"/>
    <w:pPr>
      <w:numPr>
        <w:numId w:val="4"/>
      </w:numPr>
    </w:pPr>
  </w:style>
  <w:style w:type="paragraph" w:customStyle="1" w:styleId="Bullet5">
    <w:name w:val="Bullet 5"/>
    <w:basedOn w:val="Normal"/>
    <w:uiPriority w:val="99"/>
    <w:rsid w:val="003C2DE9"/>
    <w:pPr>
      <w:numPr>
        <w:numId w:val="5"/>
      </w:numPr>
    </w:pPr>
  </w:style>
  <w:style w:type="paragraph" w:customStyle="1" w:styleId="Bullet6">
    <w:name w:val="Bullet 6"/>
    <w:basedOn w:val="Normal"/>
    <w:rsid w:val="003C2DE9"/>
    <w:pPr>
      <w:numPr>
        <w:numId w:val="6"/>
      </w:numPr>
    </w:pPr>
  </w:style>
  <w:style w:type="paragraph" w:customStyle="1" w:styleId="Bullet7">
    <w:name w:val="Bullet 7"/>
    <w:basedOn w:val="Normal"/>
    <w:rsid w:val="003C2DE9"/>
    <w:pPr>
      <w:numPr>
        <w:numId w:val="7"/>
      </w:numPr>
    </w:pPr>
  </w:style>
  <w:style w:type="paragraph" w:customStyle="1" w:styleId="Bullet8">
    <w:name w:val="Bullet 8"/>
    <w:basedOn w:val="Normal"/>
    <w:rsid w:val="003C2DE9"/>
    <w:pPr>
      <w:numPr>
        <w:numId w:val="8"/>
      </w:numPr>
    </w:pPr>
  </w:style>
  <w:style w:type="paragraph" w:customStyle="1" w:styleId="Bullet9">
    <w:name w:val="Bullet 9"/>
    <w:basedOn w:val="Body9"/>
    <w:rsid w:val="003C2DE9"/>
    <w:pPr>
      <w:numPr>
        <w:numId w:val="9"/>
      </w:numPr>
    </w:pPr>
  </w:style>
  <w:style w:type="paragraph" w:customStyle="1" w:styleId="Body9">
    <w:name w:val="Body 9"/>
    <w:basedOn w:val="Normal"/>
    <w:rsid w:val="003C2DE9"/>
    <w:pPr>
      <w:ind w:left="3221"/>
    </w:pPr>
  </w:style>
  <w:style w:type="paragraph" w:customStyle="1" w:styleId="HeadingEULA">
    <w:name w:val="Heading EULA"/>
    <w:basedOn w:val="Normal"/>
    <w:next w:val="Normal"/>
    <w:uiPriority w:val="99"/>
    <w:rsid w:val="003C2DE9"/>
    <w:rPr>
      <w:b/>
      <w:bCs/>
      <w:sz w:val="28"/>
      <w:szCs w:val="28"/>
    </w:rPr>
  </w:style>
  <w:style w:type="paragraph" w:customStyle="1" w:styleId="HeadingSoftwareTitle">
    <w:name w:val="Heading Software Title"/>
    <w:basedOn w:val="Normal"/>
    <w:next w:val="Normal"/>
    <w:uiPriority w:val="99"/>
    <w:rsid w:val="003C2DE9"/>
    <w:pPr>
      <w:pBdr>
        <w:bottom w:val="single" w:sz="4" w:space="1" w:color="auto"/>
      </w:pBdr>
    </w:pPr>
    <w:rPr>
      <w:b/>
      <w:bCs/>
      <w:sz w:val="28"/>
      <w:szCs w:val="28"/>
    </w:rPr>
  </w:style>
  <w:style w:type="paragraph" w:customStyle="1" w:styleId="Preamble">
    <w:name w:val="Preamble"/>
    <w:basedOn w:val="Normal"/>
    <w:uiPriority w:val="99"/>
    <w:rsid w:val="003C2DE9"/>
    <w:rPr>
      <w:b/>
      <w:bCs/>
    </w:rPr>
  </w:style>
  <w:style w:type="paragraph" w:customStyle="1" w:styleId="HeadingWarranty">
    <w:name w:val="Heading Warranty"/>
    <w:basedOn w:val="Normal"/>
    <w:uiPriority w:val="99"/>
    <w:rsid w:val="003C2DE9"/>
    <w:pPr>
      <w:jc w:val="center"/>
    </w:pPr>
    <w:rPr>
      <w:b/>
      <w:bCs/>
    </w:rPr>
  </w:style>
  <w:style w:type="paragraph" w:customStyle="1" w:styleId="Heading1Warranty">
    <w:name w:val="Heading 1 Warranty"/>
    <w:basedOn w:val="Normal"/>
    <w:next w:val="Normal"/>
    <w:link w:val="Heading1WarrantyCharChar"/>
    <w:uiPriority w:val="99"/>
    <w:rsid w:val="003C2DE9"/>
    <w:pPr>
      <w:numPr>
        <w:numId w:val="10"/>
      </w:numPr>
      <w:outlineLvl w:val="0"/>
    </w:pPr>
  </w:style>
  <w:style w:type="character" w:customStyle="1" w:styleId="Heading1WarrantyCharChar">
    <w:name w:val="Heading 1 Warranty Char Char"/>
    <w:basedOn w:val="DefaultParagraphFont"/>
    <w:link w:val="Heading1Warranty"/>
    <w:uiPriority w:val="99"/>
    <w:locked/>
    <w:rsid w:val="003C2DE9"/>
    <w:rPr>
      <w:rFonts w:ascii="Tahoma" w:eastAsia="MS Mincho" w:hAnsi="Tahoma" w:cs="Tahoma"/>
      <w:sz w:val="19"/>
      <w:szCs w:val="19"/>
    </w:rPr>
  </w:style>
  <w:style w:type="paragraph" w:customStyle="1" w:styleId="Heading2Warranty">
    <w:name w:val="Heading 2 Warranty"/>
    <w:basedOn w:val="Normal"/>
    <w:next w:val="Normal"/>
    <w:uiPriority w:val="99"/>
    <w:rsid w:val="003C2DE9"/>
    <w:pPr>
      <w:numPr>
        <w:ilvl w:val="1"/>
        <w:numId w:val="10"/>
      </w:numPr>
      <w:outlineLvl w:val="1"/>
    </w:pPr>
  </w:style>
  <w:style w:type="paragraph" w:customStyle="1" w:styleId="Heading3Bold">
    <w:name w:val="Heading 3 Bold"/>
    <w:basedOn w:val="Heading3"/>
    <w:uiPriority w:val="99"/>
    <w:rsid w:val="003C2DE9"/>
    <w:pPr>
      <w:numPr>
        <w:numId w:val="18"/>
      </w:numPr>
    </w:pPr>
    <w:rPr>
      <w:b/>
      <w:bCs/>
    </w:rPr>
  </w:style>
  <w:style w:type="paragraph" w:customStyle="1" w:styleId="Bullet3Underlined">
    <w:name w:val="Bullet 3 Underlined"/>
    <w:basedOn w:val="Bullet3"/>
    <w:rsid w:val="003C2DE9"/>
    <w:rPr>
      <w:u w:val="single"/>
    </w:rPr>
  </w:style>
  <w:style w:type="paragraph" w:customStyle="1" w:styleId="Body2Underline">
    <w:name w:val="Body 2 Underline"/>
    <w:basedOn w:val="Body2"/>
    <w:rsid w:val="003C2DE9"/>
    <w:rPr>
      <w:u w:val="single"/>
    </w:rPr>
  </w:style>
  <w:style w:type="character" w:styleId="Hyperlink">
    <w:name w:val="Hyperlink"/>
    <w:aliases w:val="Char Char7"/>
    <w:basedOn w:val="DefaultParagraphFont"/>
    <w:uiPriority w:val="99"/>
    <w:rsid w:val="003C2DE9"/>
    <w:rPr>
      <w:rFonts w:cs="Times New Roman"/>
      <w:color w:val="0000FF"/>
      <w:u w:val="single"/>
    </w:rPr>
  </w:style>
  <w:style w:type="paragraph" w:customStyle="1" w:styleId="Bullet4Underlined">
    <w:name w:val="Bullet 4 Underlined"/>
    <w:basedOn w:val="Bullet4"/>
    <w:rsid w:val="003C2DE9"/>
    <w:rPr>
      <w:u w:val="single"/>
    </w:rPr>
  </w:style>
  <w:style w:type="paragraph" w:customStyle="1" w:styleId="HeadingFrenchWarranty">
    <w:name w:val="Heading French Warranty"/>
    <w:basedOn w:val="Normal"/>
    <w:rsid w:val="003C2DE9"/>
    <w:pPr>
      <w:numPr>
        <w:numId w:val="11"/>
      </w:numPr>
    </w:pPr>
  </w:style>
  <w:style w:type="paragraph" w:customStyle="1" w:styleId="Heading2FrenchWarranty">
    <w:name w:val="Heading 2 French Warranty"/>
    <w:basedOn w:val="Normal"/>
    <w:link w:val="Heading2FrenchWarrantyChar"/>
    <w:autoRedefine/>
    <w:rsid w:val="003C2DE9"/>
    <w:pPr>
      <w:numPr>
        <w:numId w:val="12"/>
      </w:numPr>
    </w:pPr>
  </w:style>
  <w:style w:type="character" w:customStyle="1" w:styleId="Heading2FrenchWarrantyChar">
    <w:name w:val="Heading 2 French Warranty Char"/>
    <w:basedOn w:val="DefaultParagraphFont"/>
    <w:link w:val="Heading2FrenchWarranty"/>
    <w:locked/>
    <w:rsid w:val="003C2DE9"/>
    <w:rPr>
      <w:rFonts w:ascii="Tahoma" w:eastAsia="MS Mincho" w:hAnsi="Tahoma" w:cs="Tahoma"/>
      <w:sz w:val="19"/>
      <w:szCs w:val="19"/>
    </w:rPr>
  </w:style>
  <w:style w:type="paragraph" w:styleId="FootnoteText">
    <w:name w:val="footnote text"/>
    <w:basedOn w:val="Normal"/>
    <w:link w:val="FootnoteTextChar"/>
    <w:uiPriority w:val="99"/>
    <w:rsid w:val="003C2DE9"/>
  </w:style>
  <w:style w:type="character" w:customStyle="1" w:styleId="FootnoteTextChar">
    <w:name w:val="Footnote Text Char"/>
    <w:basedOn w:val="DefaultParagraphFont"/>
    <w:link w:val="FootnoteText"/>
    <w:uiPriority w:val="99"/>
    <w:locked/>
    <w:rsid w:val="003C2DE9"/>
    <w:rPr>
      <w:rFonts w:ascii="Tahoma" w:eastAsia="MS Mincho" w:hAnsi="Tahoma" w:cs="Tahoma"/>
      <w:sz w:val="19"/>
      <w:szCs w:val="19"/>
      <w:lang w:val="pt-BR" w:eastAsia="pt-BR"/>
    </w:rPr>
  </w:style>
  <w:style w:type="character" w:styleId="FootnoteReference">
    <w:name w:val="footnote reference"/>
    <w:basedOn w:val="DefaultParagraphFont"/>
    <w:uiPriority w:val="99"/>
    <w:rsid w:val="003C2DE9"/>
    <w:rPr>
      <w:rFonts w:cs="Times New Roman"/>
      <w:vertAlign w:val="superscript"/>
    </w:rPr>
  </w:style>
  <w:style w:type="paragraph" w:customStyle="1" w:styleId="PreambleBorderAbove">
    <w:name w:val="Preamble Border Above"/>
    <w:basedOn w:val="Preamble"/>
    <w:uiPriority w:val="99"/>
    <w:rsid w:val="003C2DE9"/>
    <w:pPr>
      <w:pBdr>
        <w:top w:val="single" w:sz="4" w:space="1" w:color="auto"/>
      </w:pBdr>
    </w:pPr>
  </w:style>
  <w:style w:type="paragraph" w:customStyle="1" w:styleId="Heading1Unbold">
    <w:name w:val="Heading 1 Unbold"/>
    <w:basedOn w:val="Heading1"/>
    <w:uiPriority w:val="99"/>
    <w:rsid w:val="003C2DE9"/>
    <w:pPr>
      <w:autoSpaceDE w:val="0"/>
      <w:autoSpaceDN w:val="0"/>
      <w:adjustRightInd w:val="0"/>
      <w:spacing w:before="0" w:after="0"/>
    </w:pPr>
    <w:rPr>
      <w:b w:val="0"/>
      <w:bCs w:val="0"/>
    </w:rPr>
  </w:style>
  <w:style w:type="paragraph" w:customStyle="1" w:styleId="Body0Bold">
    <w:name w:val="Body 0 Bold"/>
    <w:next w:val="Normal"/>
    <w:rsid w:val="003C2DE9"/>
    <w:rPr>
      <w:rFonts w:ascii="Tahoma" w:eastAsia="MS Mincho" w:hAnsi="Tahoma" w:cs="Tahoma"/>
      <w:b/>
      <w:bCs/>
      <w:sz w:val="19"/>
      <w:szCs w:val="19"/>
    </w:rPr>
  </w:style>
  <w:style w:type="paragraph" w:styleId="EndnoteText">
    <w:name w:val="endnote text"/>
    <w:basedOn w:val="Normal"/>
    <w:link w:val="EndnoteTextChar"/>
    <w:uiPriority w:val="99"/>
    <w:rsid w:val="009C1CC1"/>
    <w:rPr>
      <w:sz w:val="20"/>
      <w:szCs w:val="20"/>
    </w:rPr>
  </w:style>
  <w:style w:type="character" w:customStyle="1" w:styleId="EndnoteTextChar">
    <w:name w:val="Endnote Text Char"/>
    <w:basedOn w:val="DefaultParagraphFont"/>
    <w:link w:val="EndnoteText"/>
    <w:uiPriority w:val="99"/>
    <w:locked/>
    <w:rsid w:val="009C1CC1"/>
    <w:rPr>
      <w:rFonts w:ascii="Tahoma" w:eastAsia="MS Mincho" w:hAnsi="Tahoma" w:cs="Tahoma"/>
      <w:lang w:val="pt-BR" w:eastAsia="pt-BR"/>
    </w:rPr>
  </w:style>
  <w:style w:type="character" w:styleId="EndnoteReference">
    <w:name w:val="endnote reference"/>
    <w:basedOn w:val="DefaultParagraphFont"/>
    <w:uiPriority w:val="99"/>
    <w:rsid w:val="009C1CC1"/>
    <w:rPr>
      <w:rFonts w:cs="Times New Roman"/>
      <w:vertAlign w:val="superscript"/>
    </w:rPr>
  </w:style>
  <w:style w:type="paragraph" w:styleId="CommentText">
    <w:name w:val="annotation text"/>
    <w:basedOn w:val="Normal"/>
    <w:link w:val="CommentTextChar"/>
    <w:uiPriority w:val="99"/>
    <w:rsid w:val="009C1CC1"/>
    <w:rPr>
      <w:sz w:val="20"/>
      <w:szCs w:val="20"/>
    </w:rPr>
  </w:style>
  <w:style w:type="character" w:customStyle="1" w:styleId="CommentTextChar">
    <w:name w:val="Comment Text Char"/>
    <w:basedOn w:val="DefaultParagraphFont"/>
    <w:link w:val="CommentText"/>
    <w:uiPriority w:val="99"/>
    <w:locked/>
    <w:rsid w:val="009C1CC1"/>
    <w:rPr>
      <w:rFonts w:ascii="Tahoma" w:eastAsia="MS Mincho" w:hAnsi="Tahoma" w:cs="Tahoma"/>
      <w:lang w:val="pt-BR" w:eastAsia="pt-BR"/>
    </w:rPr>
  </w:style>
  <w:style w:type="character" w:styleId="CommentReference">
    <w:name w:val="annotation reference"/>
    <w:basedOn w:val="DefaultParagraphFont"/>
    <w:uiPriority w:val="99"/>
    <w:rsid w:val="009C1CC1"/>
    <w:rPr>
      <w:rFonts w:cs="Times New Roman"/>
      <w:sz w:val="16"/>
      <w:szCs w:val="16"/>
    </w:rPr>
  </w:style>
  <w:style w:type="paragraph" w:styleId="BalloonText">
    <w:name w:val="Balloon Text"/>
    <w:basedOn w:val="Normal"/>
    <w:link w:val="BalloonTextChar"/>
    <w:uiPriority w:val="99"/>
    <w:semiHidden/>
    <w:unhideWhenUsed/>
    <w:rsid w:val="00B67FDB"/>
    <w:pPr>
      <w:spacing w:before="0" w:after="0"/>
    </w:pPr>
    <w:rPr>
      <w:sz w:val="16"/>
      <w:szCs w:val="16"/>
    </w:rPr>
  </w:style>
  <w:style w:type="character" w:customStyle="1" w:styleId="BalloonTextChar">
    <w:name w:val="Balloon Text Char"/>
    <w:basedOn w:val="DefaultParagraphFont"/>
    <w:link w:val="BalloonText"/>
    <w:uiPriority w:val="99"/>
    <w:semiHidden/>
    <w:locked/>
    <w:rsid w:val="00B67FDB"/>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060AAA"/>
    <w:rPr>
      <w:b/>
      <w:bCs/>
    </w:rPr>
  </w:style>
  <w:style w:type="character" w:customStyle="1" w:styleId="CommentSubjectChar">
    <w:name w:val="Comment Subject Char"/>
    <w:basedOn w:val="CommentTextChar"/>
    <w:link w:val="CommentSubject"/>
    <w:uiPriority w:val="99"/>
    <w:semiHidden/>
    <w:locked/>
    <w:rsid w:val="00060AAA"/>
    <w:rPr>
      <w:rFonts w:ascii="Tahoma" w:eastAsia="MS Mincho" w:hAnsi="Tahoma" w:cs="Tahoma"/>
      <w:b/>
      <w:bCs/>
      <w:lang w:val="pt-BR" w:eastAsia="pt-BR"/>
    </w:rPr>
  </w:style>
  <w:style w:type="character" w:customStyle="1" w:styleId="dbcguidance">
    <w:name w:val="dbcguidance"/>
    <w:basedOn w:val="DefaultParagraphFont"/>
    <w:rsid w:val="00275277"/>
    <w:rPr>
      <w:rFonts w:cs="Times New Roman"/>
    </w:rPr>
  </w:style>
  <w:style w:type="character" w:styleId="Strong">
    <w:name w:val="Strong"/>
    <w:basedOn w:val="DefaultParagraphFont"/>
    <w:uiPriority w:val="22"/>
    <w:qFormat/>
    <w:rsid w:val="00A6245E"/>
    <w:rPr>
      <w:rFonts w:cs="Times New Roman"/>
      <w:b/>
      <w:bCs/>
    </w:rPr>
  </w:style>
  <w:style w:type="character" w:customStyle="1" w:styleId="dbcprompt">
    <w:name w:val="dbcprompt"/>
    <w:basedOn w:val="DefaultParagraphFont"/>
    <w:rsid w:val="00A6245E"/>
    <w:rPr>
      <w:rFonts w:cs="Times New Roman"/>
    </w:rPr>
  </w:style>
  <w:style w:type="character" w:customStyle="1" w:styleId="Body1Char1">
    <w:name w:val="Body 1 Char1"/>
    <w:basedOn w:val="DefaultParagraphFont"/>
    <w:link w:val="Body1"/>
    <w:uiPriority w:val="99"/>
    <w:locked/>
    <w:rsid w:val="0071708E"/>
    <w:rPr>
      <w:rFonts w:ascii="Tahoma" w:eastAsia="MS Mincho" w:hAnsi="Tahoma" w:cs="Tahoma"/>
      <w:sz w:val="19"/>
      <w:szCs w:val="19"/>
    </w:rPr>
  </w:style>
  <w:style w:type="character" w:customStyle="1" w:styleId="Bullet3Char1">
    <w:name w:val="Bullet 3 Char1"/>
    <w:basedOn w:val="DefaultParagraphFont"/>
    <w:link w:val="Bullet3"/>
    <w:uiPriority w:val="99"/>
    <w:locked/>
    <w:rsid w:val="0071708E"/>
    <w:rPr>
      <w:rFonts w:ascii="Tahoma" w:eastAsia="MS Mincho" w:hAnsi="Tahoma" w:cs="Tahoma"/>
      <w:sz w:val="19"/>
      <w:szCs w:val="19"/>
    </w:rPr>
  </w:style>
  <w:style w:type="paragraph" w:styleId="ListParagraph">
    <w:name w:val="List Paragraph"/>
    <w:basedOn w:val="Normal"/>
    <w:uiPriority w:val="34"/>
    <w:qFormat/>
    <w:rsid w:val="00A31C77"/>
    <w:pPr>
      <w:ind w:left="720"/>
      <w:contextualSpacing/>
    </w:pPr>
  </w:style>
  <w:style w:type="paragraph" w:styleId="Revision">
    <w:name w:val="Revision"/>
    <w:hidden/>
    <w:uiPriority w:val="99"/>
    <w:semiHidden/>
    <w:rsid w:val="00B074C0"/>
    <w:rPr>
      <w:rFonts w:ascii="Tahoma" w:eastAsia="MS Mincho" w:hAnsi="Tahoma" w:cs="Tahoma"/>
      <w:sz w:val="19"/>
      <w:szCs w:val="19"/>
    </w:rPr>
  </w:style>
  <w:style w:type="paragraph" w:customStyle="1" w:styleId="PURBlueStrong">
    <w:name w:val="PUR Blue Strong"/>
    <w:next w:val="Normal"/>
    <w:link w:val="PURBlueStrongChar"/>
    <w:uiPriority w:val="3"/>
    <w:qFormat/>
    <w:rsid w:val="00666209"/>
    <w:pPr>
      <w:keepNext/>
      <w:keepLines/>
      <w:spacing w:after="60" w:line="240" w:lineRule="exact"/>
    </w:pPr>
    <w:rPr>
      <w:rFonts w:ascii="Arial" w:hAnsi="Arial" w:cs="Arial"/>
      <w:smallCaps/>
      <w:color w:val="1F497D" w:themeColor="text2"/>
      <w:spacing w:val="-4"/>
      <w:sz w:val="18"/>
    </w:rPr>
  </w:style>
  <w:style w:type="character" w:customStyle="1" w:styleId="PURBlueStrongChar">
    <w:name w:val="PUR Blue Strong Char"/>
    <w:basedOn w:val="DefaultParagraphFont"/>
    <w:link w:val="PURBlueStrong"/>
    <w:uiPriority w:val="3"/>
    <w:locked/>
    <w:rsid w:val="00666209"/>
    <w:rPr>
      <w:rFonts w:ascii="Arial" w:hAnsi="Arial" w:cs="Arial"/>
      <w:smallCaps/>
      <w:color w:val="1F497D" w:themeColor="text2"/>
      <w:spacing w:val="-4"/>
      <w:sz w:val="18"/>
    </w:rPr>
  </w:style>
  <w:style w:type="paragraph" w:customStyle="1" w:styleId="PURBody-Indented">
    <w:name w:val="PUR Body - Indented"/>
    <w:basedOn w:val="Normal"/>
    <w:link w:val="PURBody-IndentedChar"/>
    <w:uiPriority w:val="3"/>
    <w:qFormat/>
    <w:rsid w:val="000E2C1B"/>
    <w:pPr>
      <w:spacing w:before="0"/>
      <w:ind w:left="270"/>
    </w:pPr>
    <w:rPr>
      <w:rFonts w:ascii="Arial" w:eastAsia="SimSun" w:hAnsi="Arial" w:cs="Arial"/>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0E2C1B"/>
    <w:rPr>
      <w:rFonts w:ascii="Arial" w:hAnsi="Arial" w:cs="Arial"/>
      <w:color w:val="404040" w:themeColor="text1" w:themeTint="BF"/>
      <w:sz w:val="18"/>
    </w:rPr>
  </w:style>
  <w:style w:type="paragraph" w:customStyle="1" w:styleId="PURBlueStrong-Indented">
    <w:name w:val="PUR Blue Strong - Indented"/>
    <w:basedOn w:val="PURBlueStrong"/>
    <w:link w:val="PURBlueStrong-IndentedChar"/>
    <w:uiPriority w:val="3"/>
    <w:qFormat/>
    <w:rsid w:val="00EE6F16"/>
    <w:pPr>
      <w:ind w:left="270"/>
    </w:pPr>
  </w:style>
  <w:style w:type="character" w:customStyle="1" w:styleId="PURBlueStrong-IndentedChar">
    <w:name w:val="PUR Blue Strong - Indented Char"/>
    <w:basedOn w:val="PURBlueStrongChar"/>
    <w:link w:val="PURBlueStrong-Indented"/>
    <w:uiPriority w:val="3"/>
    <w:locked/>
    <w:rsid w:val="00EE6F16"/>
    <w:rPr>
      <w:rFonts w:ascii="Arial" w:hAnsi="Arial" w:cs="Arial"/>
      <w:smallCaps/>
      <w:color w:val="1F497D" w:themeColor="text2"/>
      <w:spacing w:val="-4"/>
      <w:sz w:val="18"/>
    </w:rPr>
  </w:style>
  <w:style w:type="paragraph" w:customStyle="1" w:styleId="PURHeading2">
    <w:name w:val="PUR Heading 2"/>
    <w:next w:val="Normal"/>
    <w:uiPriority w:val="3"/>
    <w:qFormat/>
    <w:rsid w:val="009B3911"/>
    <w:pPr>
      <w:keepNext/>
      <w:keepLines/>
      <w:spacing w:after="120" w:line="240" w:lineRule="exact"/>
    </w:pPr>
    <w:rPr>
      <w:rFonts w:ascii="Arial Black" w:hAnsi="Arial Black" w:cs="Arial"/>
      <w:color w:val="404040" w:themeColor="text1" w:themeTint="BF"/>
    </w:rPr>
  </w:style>
  <w:style w:type="character" w:customStyle="1" w:styleId="PURBullet-IndentedChar">
    <w:name w:val="PUR Bullet- Indented Char"/>
    <w:basedOn w:val="DefaultParagraphFont"/>
    <w:link w:val="PURBullet-Indented"/>
    <w:uiPriority w:val="3"/>
    <w:locked/>
    <w:rsid w:val="008B728C"/>
    <w:rPr>
      <w:rFonts w:ascii="Arial" w:hAnsi="Arial" w:cs="Arial"/>
      <w:color w:val="404040" w:themeColor="text1" w:themeTint="BF"/>
      <w:sz w:val="18"/>
    </w:rPr>
  </w:style>
  <w:style w:type="paragraph" w:customStyle="1" w:styleId="PURBullet-Indented">
    <w:name w:val="PUR Bullet- Indented"/>
    <w:basedOn w:val="Normal"/>
    <w:link w:val="PURBullet-IndentedChar"/>
    <w:uiPriority w:val="3"/>
    <w:qFormat/>
    <w:rsid w:val="008B728C"/>
    <w:pPr>
      <w:spacing w:before="0" w:line="240" w:lineRule="exact"/>
      <w:ind w:left="540" w:hanging="360"/>
      <w:contextualSpacing/>
    </w:pPr>
    <w:rPr>
      <w:rFonts w:ascii="Arial" w:eastAsia="SimSun" w:hAnsi="Arial" w:cs="Arial"/>
      <w:color w:val="404040" w:themeColor="text1" w:themeTint="BF"/>
      <w:sz w:val="18"/>
      <w:szCs w:val="20"/>
    </w:rPr>
  </w:style>
  <w:style w:type="paragraph" w:customStyle="1" w:styleId="Bullet4Underline">
    <w:name w:val="Bullet 4 Underline"/>
    <w:basedOn w:val="Bullet4"/>
    <w:uiPriority w:val="99"/>
    <w:rsid w:val="009F27AF"/>
    <w:pPr>
      <w:numPr>
        <w:numId w:val="0"/>
      </w:numPr>
    </w:pPr>
    <w:rPr>
      <w:u w:val="single"/>
    </w:rPr>
  </w:style>
  <w:style w:type="paragraph" w:styleId="Header">
    <w:name w:val="header"/>
    <w:basedOn w:val="Normal"/>
    <w:link w:val="HeaderChar"/>
    <w:uiPriority w:val="99"/>
    <w:unhideWhenUsed/>
    <w:rsid w:val="00BC2C89"/>
    <w:pPr>
      <w:tabs>
        <w:tab w:val="center" w:pos="4680"/>
        <w:tab w:val="right" w:pos="9360"/>
      </w:tabs>
      <w:spacing w:before="0" w:after="0"/>
    </w:pPr>
  </w:style>
  <w:style w:type="character" w:customStyle="1" w:styleId="HeaderChar">
    <w:name w:val="Header Char"/>
    <w:basedOn w:val="DefaultParagraphFont"/>
    <w:link w:val="Header"/>
    <w:uiPriority w:val="99"/>
    <w:locked/>
    <w:rsid w:val="00BC2C89"/>
    <w:rPr>
      <w:rFonts w:ascii="Tahoma" w:eastAsia="MS Mincho" w:hAnsi="Tahoma" w:cs="Tahoma"/>
      <w:sz w:val="19"/>
      <w:szCs w:val="19"/>
    </w:rPr>
  </w:style>
  <w:style w:type="paragraph" w:styleId="Footer">
    <w:name w:val="footer"/>
    <w:basedOn w:val="Normal"/>
    <w:link w:val="FooterChar"/>
    <w:uiPriority w:val="99"/>
    <w:unhideWhenUsed/>
    <w:rsid w:val="00BC2C89"/>
    <w:pPr>
      <w:tabs>
        <w:tab w:val="center" w:pos="4680"/>
        <w:tab w:val="right" w:pos="9360"/>
      </w:tabs>
      <w:spacing w:before="0" w:after="0"/>
    </w:pPr>
  </w:style>
  <w:style w:type="character" w:customStyle="1" w:styleId="FooterChar">
    <w:name w:val="Footer Char"/>
    <w:basedOn w:val="DefaultParagraphFont"/>
    <w:link w:val="Footer"/>
    <w:uiPriority w:val="99"/>
    <w:locked/>
    <w:rsid w:val="00BC2C89"/>
    <w:rPr>
      <w:rFonts w:ascii="Tahoma" w:eastAsia="MS Mincho" w:hAnsi="Tahoma" w:cs="Tahoma"/>
      <w:sz w:val="19"/>
      <w:szCs w:val="19"/>
    </w:rPr>
  </w:style>
  <w:style w:type="character" w:styleId="FollowedHyperlink">
    <w:name w:val="FollowedHyperlink"/>
    <w:basedOn w:val="DefaultParagraphFont"/>
    <w:uiPriority w:val="99"/>
    <w:semiHidden/>
    <w:unhideWhenUsed/>
    <w:rsid w:val="00BC2C89"/>
    <w:rPr>
      <w:rFonts w:cs="Times New Roman"/>
      <w:color w:val="800080" w:themeColor="followedHyperlink"/>
      <w:u w:val="single"/>
    </w:rPr>
  </w:style>
  <w:style w:type="paragraph" w:customStyle="1" w:styleId="PURHeading1">
    <w:name w:val="PUR Heading 1"/>
    <w:next w:val="Normal"/>
    <w:uiPriority w:val="3"/>
    <w:qFormat/>
    <w:rsid w:val="001C1F5A"/>
    <w:pPr>
      <w:keepNext/>
      <w:keepLines/>
      <w:pBdr>
        <w:bottom w:val="single" w:sz="8" w:space="1" w:color="00467F"/>
      </w:pBdr>
      <w:spacing w:before="240" w:after="240" w:line="240" w:lineRule="exact"/>
    </w:pPr>
    <w:rPr>
      <w:rFonts w:ascii="Arial" w:hAnsi="Arial"/>
      <w:smallCaps/>
      <w:noProof/>
      <w:color w:val="00467F"/>
      <w:sz w:val="24"/>
      <w:szCs w:val="24"/>
    </w:rPr>
  </w:style>
  <w:style w:type="paragraph" w:customStyle="1" w:styleId="PURBlueBGHeader">
    <w:name w:val="PURBlueBGHeader"/>
    <w:basedOn w:val="Normal"/>
    <w:uiPriority w:val="3"/>
    <w:qFormat/>
    <w:rsid w:val="001C1F5A"/>
    <w:pPr>
      <w:pBdr>
        <w:top w:val="single" w:sz="12" w:space="1" w:color="E5EEF7"/>
        <w:left w:val="single" w:sz="12" w:space="4" w:color="E5EEF7"/>
        <w:bottom w:val="single" w:sz="12" w:space="1" w:color="E5EEF7"/>
        <w:right w:val="single" w:sz="12" w:space="4" w:color="E5EEF7"/>
      </w:pBdr>
      <w:shd w:val="clear" w:color="auto" w:fill="E5EEF7"/>
      <w:spacing w:before="0"/>
    </w:pPr>
    <w:rPr>
      <w:rFonts w:ascii="Arial" w:eastAsia="SimSun" w:hAnsi="Arial" w:cs="Times New Roman"/>
      <w:b/>
      <w:sz w:val="18"/>
      <w:szCs w:val="20"/>
    </w:rPr>
  </w:style>
  <w:style w:type="paragraph" w:customStyle="1" w:styleId="PURBody">
    <w:name w:val="PUR Body"/>
    <w:link w:val="PURBodyChar"/>
    <w:qFormat/>
    <w:rsid w:val="001C1F5A"/>
    <w:pPr>
      <w:spacing w:after="120"/>
    </w:pPr>
    <w:rPr>
      <w:rFonts w:ascii="Arial" w:hAnsi="Arial"/>
      <w:sz w:val="18"/>
    </w:rPr>
  </w:style>
  <w:style w:type="paragraph" w:customStyle="1" w:styleId="PURBullet">
    <w:name w:val="PUR Bullet"/>
    <w:basedOn w:val="PURBody"/>
    <w:next w:val="PURBody"/>
    <w:link w:val="PURBulletChar"/>
    <w:uiPriority w:val="3"/>
    <w:qFormat/>
    <w:rsid w:val="001C1F5A"/>
    <w:pPr>
      <w:spacing w:line="240" w:lineRule="exact"/>
      <w:ind w:left="216" w:hanging="360"/>
      <w:contextualSpacing/>
    </w:pPr>
  </w:style>
  <w:style w:type="character" w:customStyle="1" w:styleId="PURBodyChar">
    <w:name w:val="PUR Body Char"/>
    <w:link w:val="PURBody"/>
    <w:locked/>
    <w:rsid w:val="001C1F5A"/>
    <w:rPr>
      <w:rFonts w:ascii="Arial" w:hAnsi="Arial"/>
      <w:sz w:val="18"/>
    </w:rPr>
  </w:style>
  <w:style w:type="character" w:customStyle="1" w:styleId="PURBulletChar">
    <w:name w:val="PUR Bullet Char"/>
    <w:link w:val="PURBullet"/>
    <w:uiPriority w:val="3"/>
    <w:locked/>
    <w:rsid w:val="001C1F5A"/>
    <w:rPr>
      <w:rFonts w:ascii="Arial" w:hAnsi="Arial"/>
      <w:sz w:val="18"/>
    </w:rPr>
  </w:style>
  <w:style w:type="paragraph" w:customStyle="1" w:styleId="PURProductName">
    <w:name w:val="PUR Product Name"/>
    <w:basedOn w:val="Normal"/>
    <w:link w:val="PURProductNameChar"/>
    <w:uiPriority w:val="3"/>
    <w:qFormat/>
    <w:rsid w:val="001C1F5A"/>
    <w:pPr>
      <w:keepNext/>
      <w:keepLines/>
      <w:pBdr>
        <w:bottom w:val="single" w:sz="8" w:space="1" w:color="404040"/>
      </w:pBdr>
      <w:spacing w:before="240" w:after="0"/>
    </w:pPr>
    <w:rPr>
      <w:rFonts w:ascii="Arial" w:eastAsia="SimSun" w:hAnsi="Arial" w:cs="Times New Roman"/>
      <w:sz w:val="28"/>
      <w:szCs w:val="20"/>
    </w:rPr>
  </w:style>
  <w:style w:type="character" w:customStyle="1" w:styleId="PURProductNameChar">
    <w:name w:val="PUR Product Name Char"/>
    <w:link w:val="PURProductName"/>
    <w:uiPriority w:val="3"/>
    <w:locked/>
    <w:rsid w:val="001C1F5A"/>
    <w:rPr>
      <w:rFonts w:ascii="Arial" w:hAnsi="Arial"/>
      <w:sz w:val="28"/>
    </w:rPr>
  </w:style>
  <w:style w:type="paragraph" w:customStyle="1" w:styleId="PURAddtlSoftwareProductName">
    <w:name w:val="PUR Addtl Software Product Name"/>
    <w:basedOn w:val="PURBody"/>
    <w:uiPriority w:val="3"/>
    <w:qFormat/>
    <w:rsid w:val="001C1F5A"/>
    <w:pPr>
      <w:keepNext/>
      <w:keepLines/>
      <w:pBdr>
        <w:top w:val="dotted" w:sz="4" w:space="6" w:color="B9D3EB"/>
      </w:pBdr>
      <w:spacing w:before="120"/>
    </w:pPr>
    <w:rPr>
      <w:b/>
      <w:sz w:val="20"/>
    </w:rPr>
  </w:style>
  <w:style w:type="paragraph" w:customStyle="1" w:styleId="ProductList-BodyIndented">
    <w:name w:val="Product List - Body Indented"/>
    <w:basedOn w:val="Normal"/>
    <w:qFormat/>
    <w:rsid w:val="0027754A"/>
    <w:pPr>
      <w:tabs>
        <w:tab w:val="left" w:pos="360"/>
        <w:tab w:val="left" w:pos="720"/>
        <w:tab w:val="left" w:pos="1080"/>
      </w:tabs>
      <w:spacing w:before="0" w:after="0"/>
      <w:ind w:left="360"/>
    </w:pPr>
    <w:rPr>
      <w:rFonts w:asciiTheme="minorHAnsi" w:eastAsia="SimSun" w:hAnsiTheme="minorHAnsi" w:cs="Times New Roman"/>
      <w:sz w:val="18"/>
      <w:szCs w:val="20"/>
    </w:rPr>
  </w:style>
  <w:style w:type="character" w:styleId="UnresolvedMention">
    <w:name w:val="Unresolved Mention"/>
    <w:basedOn w:val="DefaultParagraphFont"/>
    <w:uiPriority w:val="99"/>
    <w:semiHidden/>
    <w:unhideWhenUsed/>
    <w:rsid w:val="00152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254923">
      <w:marLeft w:val="0"/>
      <w:marRight w:val="0"/>
      <w:marTop w:val="0"/>
      <w:marBottom w:val="0"/>
      <w:divBdr>
        <w:top w:val="none" w:sz="0" w:space="0" w:color="auto"/>
        <w:left w:val="none" w:sz="0" w:space="0" w:color="auto"/>
        <w:bottom w:val="none" w:sz="0" w:space="0" w:color="auto"/>
        <w:right w:val="none" w:sz="0" w:space="0" w:color="auto"/>
      </w:divBdr>
    </w:div>
    <w:div w:id="720254924">
      <w:marLeft w:val="0"/>
      <w:marRight w:val="0"/>
      <w:marTop w:val="0"/>
      <w:marBottom w:val="0"/>
      <w:divBdr>
        <w:top w:val="none" w:sz="0" w:space="0" w:color="auto"/>
        <w:left w:val="none" w:sz="0" w:space="0" w:color="auto"/>
        <w:bottom w:val="none" w:sz="0" w:space="0" w:color="auto"/>
        <w:right w:val="none" w:sz="0" w:space="0" w:color="auto"/>
      </w:divBdr>
    </w:div>
    <w:div w:id="720254932">
      <w:marLeft w:val="0"/>
      <w:marRight w:val="0"/>
      <w:marTop w:val="0"/>
      <w:marBottom w:val="0"/>
      <w:divBdr>
        <w:top w:val="none" w:sz="0" w:space="0" w:color="auto"/>
        <w:left w:val="none" w:sz="0" w:space="0" w:color="auto"/>
        <w:bottom w:val="none" w:sz="0" w:space="0" w:color="auto"/>
        <w:right w:val="none" w:sz="0" w:space="0" w:color="auto"/>
      </w:divBdr>
    </w:div>
    <w:div w:id="720254933">
      <w:marLeft w:val="0"/>
      <w:marRight w:val="0"/>
      <w:marTop w:val="0"/>
      <w:marBottom w:val="0"/>
      <w:divBdr>
        <w:top w:val="none" w:sz="0" w:space="0" w:color="auto"/>
        <w:left w:val="none" w:sz="0" w:space="0" w:color="auto"/>
        <w:bottom w:val="none" w:sz="0" w:space="0" w:color="auto"/>
        <w:right w:val="none" w:sz="0" w:space="0" w:color="auto"/>
      </w:divBdr>
    </w:div>
    <w:div w:id="720254934">
      <w:marLeft w:val="0"/>
      <w:marRight w:val="0"/>
      <w:marTop w:val="0"/>
      <w:marBottom w:val="0"/>
      <w:divBdr>
        <w:top w:val="none" w:sz="0" w:space="0" w:color="auto"/>
        <w:left w:val="none" w:sz="0" w:space="0" w:color="auto"/>
        <w:bottom w:val="none" w:sz="0" w:space="0" w:color="auto"/>
        <w:right w:val="none" w:sz="0" w:space="0" w:color="auto"/>
      </w:divBdr>
    </w:div>
    <w:div w:id="720254935">
      <w:marLeft w:val="0"/>
      <w:marRight w:val="0"/>
      <w:marTop w:val="0"/>
      <w:marBottom w:val="0"/>
      <w:divBdr>
        <w:top w:val="none" w:sz="0" w:space="0" w:color="auto"/>
        <w:left w:val="none" w:sz="0" w:space="0" w:color="auto"/>
        <w:bottom w:val="none" w:sz="0" w:space="0" w:color="auto"/>
        <w:right w:val="none" w:sz="0" w:space="0" w:color="auto"/>
      </w:divBdr>
    </w:div>
    <w:div w:id="720254936">
      <w:marLeft w:val="0"/>
      <w:marRight w:val="0"/>
      <w:marTop w:val="0"/>
      <w:marBottom w:val="0"/>
      <w:divBdr>
        <w:top w:val="none" w:sz="0" w:space="0" w:color="auto"/>
        <w:left w:val="none" w:sz="0" w:space="0" w:color="auto"/>
        <w:bottom w:val="none" w:sz="0" w:space="0" w:color="auto"/>
        <w:right w:val="none" w:sz="0" w:space="0" w:color="auto"/>
      </w:divBdr>
    </w:div>
    <w:div w:id="720254937">
      <w:marLeft w:val="0"/>
      <w:marRight w:val="0"/>
      <w:marTop w:val="0"/>
      <w:marBottom w:val="0"/>
      <w:divBdr>
        <w:top w:val="none" w:sz="0" w:space="0" w:color="auto"/>
        <w:left w:val="none" w:sz="0" w:space="0" w:color="auto"/>
        <w:bottom w:val="none" w:sz="0" w:space="0" w:color="auto"/>
        <w:right w:val="none" w:sz="0" w:space="0" w:color="auto"/>
      </w:divBdr>
    </w:div>
    <w:div w:id="720254938">
      <w:marLeft w:val="0"/>
      <w:marRight w:val="0"/>
      <w:marTop w:val="0"/>
      <w:marBottom w:val="0"/>
      <w:divBdr>
        <w:top w:val="none" w:sz="0" w:space="0" w:color="auto"/>
        <w:left w:val="none" w:sz="0" w:space="0" w:color="auto"/>
        <w:bottom w:val="none" w:sz="0" w:space="0" w:color="auto"/>
        <w:right w:val="none" w:sz="0" w:space="0" w:color="auto"/>
      </w:divBdr>
    </w:div>
    <w:div w:id="720254939">
      <w:marLeft w:val="0"/>
      <w:marRight w:val="0"/>
      <w:marTop w:val="0"/>
      <w:marBottom w:val="0"/>
      <w:divBdr>
        <w:top w:val="none" w:sz="0" w:space="0" w:color="auto"/>
        <w:left w:val="none" w:sz="0" w:space="0" w:color="auto"/>
        <w:bottom w:val="none" w:sz="0" w:space="0" w:color="auto"/>
        <w:right w:val="none" w:sz="0" w:space="0" w:color="auto"/>
      </w:divBdr>
    </w:div>
    <w:div w:id="720254940">
      <w:marLeft w:val="0"/>
      <w:marRight w:val="0"/>
      <w:marTop w:val="0"/>
      <w:marBottom w:val="0"/>
      <w:divBdr>
        <w:top w:val="none" w:sz="0" w:space="0" w:color="auto"/>
        <w:left w:val="none" w:sz="0" w:space="0" w:color="auto"/>
        <w:bottom w:val="none" w:sz="0" w:space="0" w:color="auto"/>
        <w:right w:val="none" w:sz="0" w:space="0" w:color="auto"/>
      </w:divBdr>
    </w:div>
    <w:div w:id="720254941">
      <w:marLeft w:val="0"/>
      <w:marRight w:val="0"/>
      <w:marTop w:val="0"/>
      <w:marBottom w:val="0"/>
      <w:divBdr>
        <w:top w:val="none" w:sz="0" w:space="0" w:color="auto"/>
        <w:left w:val="none" w:sz="0" w:space="0" w:color="auto"/>
        <w:bottom w:val="none" w:sz="0" w:space="0" w:color="auto"/>
        <w:right w:val="none" w:sz="0" w:space="0" w:color="auto"/>
      </w:divBdr>
    </w:div>
    <w:div w:id="720254942">
      <w:marLeft w:val="0"/>
      <w:marRight w:val="0"/>
      <w:marTop w:val="0"/>
      <w:marBottom w:val="0"/>
      <w:divBdr>
        <w:top w:val="none" w:sz="0" w:space="0" w:color="auto"/>
        <w:left w:val="none" w:sz="0" w:space="0" w:color="auto"/>
        <w:bottom w:val="none" w:sz="0" w:space="0" w:color="auto"/>
        <w:right w:val="none" w:sz="0" w:space="0" w:color="auto"/>
      </w:divBdr>
    </w:div>
    <w:div w:id="720254943">
      <w:marLeft w:val="0"/>
      <w:marRight w:val="0"/>
      <w:marTop w:val="0"/>
      <w:marBottom w:val="0"/>
      <w:divBdr>
        <w:top w:val="none" w:sz="0" w:space="0" w:color="auto"/>
        <w:left w:val="none" w:sz="0" w:space="0" w:color="auto"/>
        <w:bottom w:val="none" w:sz="0" w:space="0" w:color="auto"/>
        <w:right w:val="none" w:sz="0" w:space="0" w:color="auto"/>
      </w:divBdr>
    </w:div>
    <w:div w:id="720254944">
      <w:marLeft w:val="0"/>
      <w:marRight w:val="0"/>
      <w:marTop w:val="0"/>
      <w:marBottom w:val="0"/>
      <w:divBdr>
        <w:top w:val="none" w:sz="0" w:space="0" w:color="auto"/>
        <w:left w:val="none" w:sz="0" w:space="0" w:color="auto"/>
        <w:bottom w:val="none" w:sz="0" w:space="0" w:color="auto"/>
        <w:right w:val="none" w:sz="0" w:space="0" w:color="auto"/>
      </w:divBdr>
    </w:div>
    <w:div w:id="720254945">
      <w:marLeft w:val="0"/>
      <w:marRight w:val="0"/>
      <w:marTop w:val="0"/>
      <w:marBottom w:val="0"/>
      <w:divBdr>
        <w:top w:val="none" w:sz="0" w:space="0" w:color="auto"/>
        <w:left w:val="none" w:sz="0" w:space="0" w:color="auto"/>
        <w:bottom w:val="none" w:sz="0" w:space="0" w:color="auto"/>
        <w:right w:val="none" w:sz="0" w:space="0" w:color="auto"/>
      </w:divBdr>
    </w:div>
    <w:div w:id="720254946">
      <w:marLeft w:val="0"/>
      <w:marRight w:val="0"/>
      <w:marTop w:val="0"/>
      <w:marBottom w:val="0"/>
      <w:divBdr>
        <w:top w:val="none" w:sz="0" w:space="0" w:color="auto"/>
        <w:left w:val="none" w:sz="0" w:space="0" w:color="auto"/>
        <w:bottom w:val="none" w:sz="0" w:space="0" w:color="auto"/>
        <w:right w:val="none" w:sz="0" w:space="0" w:color="auto"/>
      </w:divBdr>
    </w:div>
    <w:div w:id="720254947">
      <w:marLeft w:val="0"/>
      <w:marRight w:val="0"/>
      <w:marTop w:val="0"/>
      <w:marBottom w:val="0"/>
      <w:divBdr>
        <w:top w:val="none" w:sz="0" w:space="0" w:color="auto"/>
        <w:left w:val="none" w:sz="0" w:space="0" w:color="auto"/>
        <w:bottom w:val="none" w:sz="0" w:space="0" w:color="auto"/>
        <w:right w:val="none" w:sz="0" w:space="0" w:color="auto"/>
      </w:divBdr>
    </w:div>
    <w:div w:id="720254948">
      <w:marLeft w:val="0"/>
      <w:marRight w:val="0"/>
      <w:marTop w:val="0"/>
      <w:marBottom w:val="0"/>
      <w:divBdr>
        <w:top w:val="none" w:sz="0" w:space="0" w:color="auto"/>
        <w:left w:val="none" w:sz="0" w:space="0" w:color="auto"/>
        <w:bottom w:val="none" w:sz="0" w:space="0" w:color="auto"/>
        <w:right w:val="none" w:sz="0" w:space="0" w:color="auto"/>
      </w:divBdr>
    </w:div>
    <w:div w:id="720254949">
      <w:marLeft w:val="0"/>
      <w:marRight w:val="0"/>
      <w:marTop w:val="0"/>
      <w:marBottom w:val="0"/>
      <w:divBdr>
        <w:top w:val="none" w:sz="0" w:space="0" w:color="auto"/>
        <w:left w:val="none" w:sz="0" w:space="0" w:color="auto"/>
        <w:bottom w:val="none" w:sz="0" w:space="0" w:color="auto"/>
        <w:right w:val="none" w:sz="0" w:space="0" w:color="auto"/>
      </w:divBdr>
    </w:div>
    <w:div w:id="720254950">
      <w:marLeft w:val="0"/>
      <w:marRight w:val="0"/>
      <w:marTop w:val="0"/>
      <w:marBottom w:val="0"/>
      <w:divBdr>
        <w:top w:val="none" w:sz="0" w:space="0" w:color="auto"/>
        <w:left w:val="none" w:sz="0" w:space="0" w:color="auto"/>
        <w:bottom w:val="none" w:sz="0" w:space="0" w:color="auto"/>
        <w:right w:val="none" w:sz="0" w:space="0" w:color="auto"/>
      </w:divBdr>
    </w:div>
    <w:div w:id="720254951">
      <w:marLeft w:val="0"/>
      <w:marRight w:val="0"/>
      <w:marTop w:val="0"/>
      <w:marBottom w:val="0"/>
      <w:divBdr>
        <w:top w:val="none" w:sz="0" w:space="0" w:color="auto"/>
        <w:left w:val="none" w:sz="0" w:space="0" w:color="auto"/>
        <w:bottom w:val="none" w:sz="0" w:space="0" w:color="auto"/>
        <w:right w:val="none" w:sz="0" w:space="0" w:color="auto"/>
      </w:divBdr>
    </w:div>
    <w:div w:id="720254966">
      <w:marLeft w:val="0"/>
      <w:marRight w:val="0"/>
      <w:marTop w:val="0"/>
      <w:marBottom w:val="0"/>
      <w:divBdr>
        <w:top w:val="none" w:sz="0" w:space="0" w:color="auto"/>
        <w:left w:val="none" w:sz="0" w:space="0" w:color="auto"/>
        <w:bottom w:val="none" w:sz="0" w:space="0" w:color="auto"/>
        <w:right w:val="none" w:sz="0" w:space="0" w:color="auto"/>
      </w:divBdr>
      <w:divsChild>
        <w:div w:id="720254926">
          <w:marLeft w:val="0"/>
          <w:marRight w:val="0"/>
          <w:marTop w:val="0"/>
          <w:marBottom w:val="0"/>
          <w:divBdr>
            <w:top w:val="none" w:sz="0" w:space="0" w:color="auto"/>
            <w:left w:val="none" w:sz="0" w:space="0" w:color="auto"/>
            <w:bottom w:val="none" w:sz="0" w:space="0" w:color="auto"/>
            <w:right w:val="none" w:sz="0" w:space="0" w:color="auto"/>
          </w:divBdr>
        </w:div>
        <w:div w:id="720254955">
          <w:marLeft w:val="0"/>
          <w:marRight w:val="0"/>
          <w:marTop w:val="0"/>
          <w:marBottom w:val="0"/>
          <w:divBdr>
            <w:top w:val="none" w:sz="0" w:space="0" w:color="auto"/>
            <w:left w:val="none" w:sz="0" w:space="0" w:color="auto"/>
            <w:bottom w:val="none" w:sz="0" w:space="0" w:color="auto"/>
            <w:right w:val="none" w:sz="0" w:space="0" w:color="auto"/>
          </w:divBdr>
        </w:div>
      </w:divsChild>
    </w:div>
    <w:div w:id="720254968">
      <w:marLeft w:val="0"/>
      <w:marRight w:val="0"/>
      <w:marTop w:val="0"/>
      <w:marBottom w:val="0"/>
      <w:divBdr>
        <w:top w:val="none" w:sz="0" w:space="0" w:color="auto"/>
        <w:left w:val="none" w:sz="0" w:space="0" w:color="auto"/>
        <w:bottom w:val="none" w:sz="0" w:space="0" w:color="auto"/>
        <w:right w:val="none" w:sz="0" w:space="0" w:color="auto"/>
      </w:divBdr>
      <w:divsChild>
        <w:div w:id="720254965">
          <w:marLeft w:val="0"/>
          <w:marRight w:val="0"/>
          <w:marTop w:val="0"/>
          <w:marBottom w:val="0"/>
          <w:divBdr>
            <w:top w:val="none" w:sz="0" w:space="0" w:color="auto"/>
            <w:left w:val="none" w:sz="0" w:space="0" w:color="auto"/>
            <w:bottom w:val="none" w:sz="0" w:space="0" w:color="auto"/>
            <w:right w:val="none" w:sz="0" w:space="0" w:color="auto"/>
          </w:divBdr>
          <w:divsChild>
            <w:div w:id="720254959">
              <w:marLeft w:val="0"/>
              <w:marRight w:val="0"/>
              <w:marTop w:val="0"/>
              <w:marBottom w:val="0"/>
              <w:divBdr>
                <w:top w:val="none" w:sz="0" w:space="0" w:color="auto"/>
                <w:left w:val="none" w:sz="0" w:space="0" w:color="auto"/>
                <w:bottom w:val="none" w:sz="0" w:space="0" w:color="auto"/>
                <w:right w:val="none" w:sz="0" w:space="0" w:color="auto"/>
              </w:divBdr>
              <w:divsChild>
                <w:div w:id="720254931">
                  <w:marLeft w:val="0"/>
                  <w:marRight w:val="0"/>
                  <w:marTop w:val="0"/>
                  <w:marBottom w:val="0"/>
                  <w:divBdr>
                    <w:top w:val="none" w:sz="0" w:space="0" w:color="auto"/>
                    <w:left w:val="none" w:sz="0" w:space="0" w:color="auto"/>
                    <w:bottom w:val="none" w:sz="0" w:space="0" w:color="auto"/>
                    <w:right w:val="none" w:sz="0" w:space="0" w:color="auto"/>
                  </w:divBdr>
                  <w:divsChild>
                    <w:div w:id="720254971">
                      <w:marLeft w:val="2325"/>
                      <w:marRight w:val="0"/>
                      <w:marTop w:val="0"/>
                      <w:marBottom w:val="0"/>
                      <w:divBdr>
                        <w:top w:val="none" w:sz="0" w:space="0" w:color="auto"/>
                        <w:left w:val="none" w:sz="0" w:space="0" w:color="auto"/>
                        <w:bottom w:val="none" w:sz="0" w:space="0" w:color="auto"/>
                        <w:right w:val="none" w:sz="0" w:space="0" w:color="auto"/>
                      </w:divBdr>
                      <w:divsChild>
                        <w:div w:id="720254964">
                          <w:marLeft w:val="0"/>
                          <w:marRight w:val="0"/>
                          <w:marTop w:val="0"/>
                          <w:marBottom w:val="0"/>
                          <w:divBdr>
                            <w:top w:val="none" w:sz="0" w:space="0" w:color="auto"/>
                            <w:left w:val="none" w:sz="0" w:space="0" w:color="auto"/>
                            <w:bottom w:val="none" w:sz="0" w:space="0" w:color="auto"/>
                            <w:right w:val="none" w:sz="0" w:space="0" w:color="auto"/>
                          </w:divBdr>
                          <w:divsChild>
                            <w:div w:id="720254960">
                              <w:marLeft w:val="0"/>
                              <w:marRight w:val="0"/>
                              <w:marTop w:val="0"/>
                              <w:marBottom w:val="0"/>
                              <w:divBdr>
                                <w:top w:val="none" w:sz="0" w:space="0" w:color="auto"/>
                                <w:left w:val="none" w:sz="0" w:space="0" w:color="auto"/>
                                <w:bottom w:val="none" w:sz="0" w:space="0" w:color="auto"/>
                                <w:right w:val="none" w:sz="0" w:space="0" w:color="auto"/>
                              </w:divBdr>
                              <w:divsChild>
                                <w:div w:id="720254958">
                                  <w:marLeft w:val="0"/>
                                  <w:marRight w:val="0"/>
                                  <w:marTop w:val="0"/>
                                  <w:marBottom w:val="0"/>
                                  <w:divBdr>
                                    <w:top w:val="none" w:sz="0" w:space="0" w:color="auto"/>
                                    <w:left w:val="none" w:sz="0" w:space="0" w:color="auto"/>
                                    <w:bottom w:val="none" w:sz="0" w:space="0" w:color="auto"/>
                                    <w:right w:val="none" w:sz="0" w:space="0" w:color="auto"/>
                                  </w:divBdr>
                                  <w:divsChild>
                                    <w:div w:id="720254957">
                                      <w:marLeft w:val="0"/>
                                      <w:marRight w:val="0"/>
                                      <w:marTop w:val="0"/>
                                      <w:marBottom w:val="0"/>
                                      <w:divBdr>
                                        <w:top w:val="none" w:sz="0" w:space="0" w:color="auto"/>
                                        <w:left w:val="none" w:sz="0" w:space="0" w:color="auto"/>
                                        <w:bottom w:val="none" w:sz="0" w:space="0" w:color="auto"/>
                                        <w:right w:val="none" w:sz="0" w:space="0" w:color="auto"/>
                                      </w:divBdr>
                                      <w:divsChild>
                                        <w:div w:id="720254963">
                                          <w:marLeft w:val="0"/>
                                          <w:marRight w:val="0"/>
                                          <w:marTop w:val="0"/>
                                          <w:marBottom w:val="0"/>
                                          <w:divBdr>
                                            <w:top w:val="none" w:sz="0" w:space="0" w:color="auto"/>
                                            <w:left w:val="none" w:sz="0" w:space="0" w:color="auto"/>
                                            <w:bottom w:val="none" w:sz="0" w:space="0" w:color="auto"/>
                                            <w:right w:val="none" w:sz="0" w:space="0" w:color="auto"/>
                                          </w:divBdr>
                                          <w:divsChild>
                                            <w:div w:id="720254930">
                                              <w:marLeft w:val="0"/>
                                              <w:marRight w:val="0"/>
                                              <w:marTop w:val="0"/>
                                              <w:marBottom w:val="0"/>
                                              <w:divBdr>
                                                <w:top w:val="none" w:sz="0" w:space="0" w:color="auto"/>
                                                <w:left w:val="none" w:sz="0" w:space="0" w:color="auto"/>
                                                <w:bottom w:val="none" w:sz="0" w:space="0" w:color="auto"/>
                                                <w:right w:val="none" w:sz="0" w:space="0" w:color="auto"/>
                                              </w:divBdr>
                                              <w:divsChild>
                                                <w:div w:id="720254954">
                                                  <w:marLeft w:val="0"/>
                                                  <w:marRight w:val="0"/>
                                                  <w:marTop w:val="0"/>
                                                  <w:marBottom w:val="0"/>
                                                  <w:divBdr>
                                                    <w:top w:val="none" w:sz="0" w:space="0" w:color="auto"/>
                                                    <w:left w:val="none" w:sz="0" w:space="0" w:color="auto"/>
                                                    <w:bottom w:val="none" w:sz="0" w:space="0" w:color="auto"/>
                                                    <w:right w:val="none" w:sz="0" w:space="0" w:color="auto"/>
                                                  </w:divBdr>
                                                  <w:divsChild>
                                                    <w:div w:id="720254961">
                                                      <w:marLeft w:val="0"/>
                                                      <w:marRight w:val="0"/>
                                                      <w:marTop w:val="0"/>
                                                      <w:marBottom w:val="0"/>
                                                      <w:divBdr>
                                                        <w:top w:val="none" w:sz="0" w:space="0" w:color="auto"/>
                                                        <w:left w:val="none" w:sz="0" w:space="0" w:color="auto"/>
                                                        <w:bottom w:val="none" w:sz="0" w:space="0" w:color="auto"/>
                                                        <w:right w:val="none" w:sz="0" w:space="0" w:color="auto"/>
                                                      </w:divBdr>
                                                      <w:divsChild>
                                                        <w:div w:id="720254967">
                                                          <w:marLeft w:val="0"/>
                                                          <w:marRight w:val="0"/>
                                                          <w:marTop w:val="15"/>
                                                          <w:marBottom w:val="15"/>
                                                          <w:divBdr>
                                                            <w:top w:val="none" w:sz="0" w:space="0" w:color="auto"/>
                                                            <w:left w:val="none" w:sz="0" w:space="0" w:color="auto"/>
                                                            <w:bottom w:val="none" w:sz="0" w:space="0" w:color="auto"/>
                                                            <w:right w:val="none" w:sz="0" w:space="0" w:color="auto"/>
                                                          </w:divBdr>
                                                          <w:divsChild>
                                                            <w:div w:id="720254953">
                                                              <w:marLeft w:val="0"/>
                                                              <w:marRight w:val="0"/>
                                                              <w:marTop w:val="0"/>
                                                              <w:marBottom w:val="0"/>
                                                              <w:divBdr>
                                                                <w:top w:val="none" w:sz="0" w:space="0" w:color="auto"/>
                                                                <w:left w:val="none" w:sz="0" w:space="0" w:color="auto"/>
                                                                <w:bottom w:val="none" w:sz="0" w:space="0" w:color="auto"/>
                                                                <w:right w:val="none" w:sz="0" w:space="0" w:color="auto"/>
                                                              </w:divBdr>
                                                              <w:divsChild>
                                                                <w:div w:id="720254962">
                                                                  <w:marLeft w:val="0"/>
                                                                  <w:marRight w:val="0"/>
                                                                  <w:marTop w:val="0"/>
                                                                  <w:marBottom w:val="0"/>
                                                                  <w:divBdr>
                                                                    <w:top w:val="none" w:sz="0" w:space="0" w:color="auto"/>
                                                                    <w:left w:val="none" w:sz="0" w:space="0" w:color="auto"/>
                                                                    <w:bottom w:val="none" w:sz="0" w:space="0" w:color="auto"/>
                                                                    <w:right w:val="none" w:sz="0" w:space="0" w:color="auto"/>
                                                                  </w:divBdr>
                                                                  <w:divsChild>
                                                                    <w:div w:id="720254952">
                                                                      <w:marLeft w:val="0"/>
                                                                      <w:marRight w:val="0"/>
                                                                      <w:marTop w:val="0"/>
                                                                      <w:marBottom w:val="0"/>
                                                                      <w:divBdr>
                                                                        <w:top w:val="none" w:sz="0" w:space="0" w:color="auto"/>
                                                                        <w:left w:val="none" w:sz="0" w:space="0" w:color="auto"/>
                                                                        <w:bottom w:val="none" w:sz="0" w:space="0" w:color="auto"/>
                                                                        <w:right w:val="none" w:sz="0" w:space="0" w:color="auto"/>
                                                                      </w:divBdr>
                                                                      <w:divsChild>
                                                                        <w:div w:id="720254928">
                                                                          <w:marLeft w:val="0"/>
                                                                          <w:marRight w:val="0"/>
                                                                          <w:marTop w:val="0"/>
                                                                          <w:marBottom w:val="0"/>
                                                                          <w:divBdr>
                                                                            <w:top w:val="none" w:sz="0" w:space="0" w:color="auto"/>
                                                                            <w:left w:val="none" w:sz="0" w:space="0" w:color="auto"/>
                                                                            <w:bottom w:val="none" w:sz="0" w:space="0" w:color="auto"/>
                                                                            <w:right w:val="none" w:sz="0" w:space="0" w:color="auto"/>
                                                                          </w:divBdr>
                                                                          <w:divsChild>
                                                                            <w:div w:id="720254929">
                                                                              <w:marLeft w:val="0"/>
                                                                              <w:marRight w:val="0"/>
                                                                              <w:marTop w:val="0"/>
                                                                              <w:marBottom w:val="0"/>
                                                                              <w:divBdr>
                                                                                <w:top w:val="none" w:sz="0" w:space="0" w:color="auto"/>
                                                                                <w:left w:val="none" w:sz="0" w:space="0" w:color="auto"/>
                                                                                <w:bottom w:val="none" w:sz="0" w:space="0" w:color="auto"/>
                                                                                <w:right w:val="none" w:sz="0" w:space="0" w:color="auto"/>
                                                                              </w:divBdr>
                                                                              <w:divsChild>
                                                                                <w:div w:id="720254974">
                                                                                  <w:marLeft w:val="0"/>
                                                                                  <w:marRight w:val="0"/>
                                                                                  <w:marTop w:val="0"/>
                                                                                  <w:marBottom w:val="0"/>
                                                                                  <w:divBdr>
                                                                                    <w:top w:val="none" w:sz="0" w:space="0" w:color="auto"/>
                                                                                    <w:left w:val="none" w:sz="0" w:space="0" w:color="auto"/>
                                                                                    <w:bottom w:val="none" w:sz="0" w:space="0" w:color="auto"/>
                                                                                    <w:right w:val="none" w:sz="0" w:space="0" w:color="auto"/>
                                                                                  </w:divBdr>
                                                                                  <w:divsChild>
                                                                                    <w:div w:id="720254925">
                                                                                      <w:marLeft w:val="0"/>
                                                                                      <w:marRight w:val="0"/>
                                                                                      <w:marTop w:val="0"/>
                                                                                      <w:marBottom w:val="0"/>
                                                                                      <w:divBdr>
                                                                                        <w:top w:val="none" w:sz="0" w:space="0" w:color="auto"/>
                                                                                        <w:left w:val="none" w:sz="0" w:space="0" w:color="auto"/>
                                                                                        <w:bottom w:val="none" w:sz="0" w:space="0" w:color="auto"/>
                                                                                        <w:right w:val="none" w:sz="0" w:space="0" w:color="auto"/>
                                                                                      </w:divBdr>
                                                                                    </w:div>
                                                                                    <w:div w:id="720254927">
                                                                                      <w:marLeft w:val="0"/>
                                                                                      <w:marRight w:val="0"/>
                                                                                      <w:marTop w:val="0"/>
                                                                                      <w:marBottom w:val="0"/>
                                                                                      <w:divBdr>
                                                                                        <w:top w:val="none" w:sz="0" w:space="0" w:color="auto"/>
                                                                                        <w:left w:val="none" w:sz="0" w:space="0" w:color="auto"/>
                                                                                        <w:bottom w:val="none" w:sz="0" w:space="0" w:color="auto"/>
                                                                                        <w:right w:val="none" w:sz="0" w:space="0" w:color="auto"/>
                                                                                      </w:divBdr>
                                                                                    </w:div>
                                                                                    <w:div w:id="720254956">
                                                                                      <w:marLeft w:val="0"/>
                                                                                      <w:marRight w:val="0"/>
                                                                                      <w:marTop w:val="0"/>
                                                                                      <w:marBottom w:val="0"/>
                                                                                      <w:divBdr>
                                                                                        <w:top w:val="none" w:sz="0" w:space="0" w:color="auto"/>
                                                                                        <w:left w:val="none" w:sz="0" w:space="0" w:color="auto"/>
                                                                                        <w:bottom w:val="none" w:sz="0" w:space="0" w:color="auto"/>
                                                                                        <w:right w:val="none" w:sz="0" w:space="0" w:color="auto"/>
                                                                                      </w:divBdr>
                                                                                    </w:div>
                                                                                    <w:div w:id="720254969">
                                                                                      <w:marLeft w:val="0"/>
                                                                                      <w:marRight w:val="0"/>
                                                                                      <w:marTop w:val="0"/>
                                                                                      <w:marBottom w:val="0"/>
                                                                                      <w:divBdr>
                                                                                        <w:top w:val="none" w:sz="0" w:space="0" w:color="auto"/>
                                                                                        <w:left w:val="none" w:sz="0" w:space="0" w:color="auto"/>
                                                                                        <w:bottom w:val="none" w:sz="0" w:space="0" w:color="auto"/>
                                                                                        <w:right w:val="none" w:sz="0" w:space="0" w:color="auto"/>
                                                                                      </w:divBdr>
                                                                                    </w:div>
                                                                                    <w:div w:id="720254970">
                                                                                      <w:marLeft w:val="0"/>
                                                                                      <w:marRight w:val="0"/>
                                                                                      <w:marTop w:val="0"/>
                                                                                      <w:marBottom w:val="0"/>
                                                                                      <w:divBdr>
                                                                                        <w:top w:val="none" w:sz="0" w:space="0" w:color="auto"/>
                                                                                        <w:left w:val="none" w:sz="0" w:space="0" w:color="auto"/>
                                                                                        <w:bottom w:val="none" w:sz="0" w:space="0" w:color="auto"/>
                                                                                        <w:right w:val="none" w:sz="0" w:space="0" w:color="auto"/>
                                                                                      </w:divBdr>
                                                                                    </w:div>
                                                                                    <w:div w:id="720254972">
                                                                                      <w:marLeft w:val="0"/>
                                                                                      <w:marRight w:val="0"/>
                                                                                      <w:marTop w:val="0"/>
                                                                                      <w:marBottom w:val="0"/>
                                                                                      <w:divBdr>
                                                                                        <w:top w:val="none" w:sz="0" w:space="0" w:color="auto"/>
                                                                                        <w:left w:val="none" w:sz="0" w:space="0" w:color="auto"/>
                                                                                        <w:bottom w:val="none" w:sz="0" w:space="0" w:color="auto"/>
                                                                                        <w:right w:val="none" w:sz="0" w:space="0" w:color="auto"/>
                                                                                      </w:divBdr>
                                                                                    </w:div>
                                                                                    <w:div w:id="7202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254975">
      <w:marLeft w:val="0"/>
      <w:marRight w:val="0"/>
      <w:marTop w:val="0"/>
      <w:marBottom w:val="0"/>
      <w:divBdr>
        <w:top w:val="none" w:sz="0" w:space="0" w:color="auto"/>
        <w:left w:val="none" w:sz="0" w:space="0" w:color="auto"/>
        <w:bottom w:val="none" w:sz="0" w:space="0" w:color="auto"/>
        <w:right w:val="none" w:sz="0" w:space="0" w:color="auto"/>
      </w:divBdr>
    </w:div>
    <w:div w:id="720254976">
      <w:marLeft w:val="0"/>
      <w:marRight w:val="0"/>
      <w:marTop w:val="0"/>
      <w:marBottom w:val="0"/>
      <w:divBdr>
        <w:top w:val="none" w:sz="0" w:space="0" w:color="auto"/>
        <w:left w:val="none" w:sz="0" w:space="0" w:color="auto"/>
        <w:bottom w:val="none" w:sz="0" w:space="0" w:color="auto"/>
        <w:right w:val="none" w:sz="0" w:space="0" w:color="auto"/>
      </w:divBdr>
    </w:div>
    <w:div w:id="720254977">
      <w:marLeft w:val="0"/>
      <w:marRight w:val="0"/>
      <w:marTop w:val="0"/>
      <w:marBottom w:val="0"/>
      <w:divBdr>
        <w:top w:val="none" w:sz="0" w:space="0" w:color="auto"/>
        <w:left w:val="none" w:sz="0" w:space="0" w:color="auto"/>
        <w:bottom w:val="none" w:sz="0" w:space="0" w:color="auto"/>
        <w:right w:val="none" w:sz="0" w:space="0" w:color="auto"/>
      </w:divBdr>
    </w:div>
    <w:div w:id="720254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398505" TargetMode="External"/><Relationship Id="rId18" Type="http://schemas.openxmlformats.org/officeDocument/2006/relationships/hyperlink" Target="https://aka.ms/naretur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ka.ms/nareturns" TargetMode="External"/><Relationship Id="rId17" Type="http://schemas.openxmlformats.org/officeDocument/2006/relationships/hyperlink" Target="https://support.microsof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crosoft.com/export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worldwid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owtotell.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linkid=984073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35CC6EA8BD841AC740EA94DDF8D1E" ma:contentTypeVersion="4" ma:contentTypeDescription="Create a new document." ma:contentTypeScope="" ma:versionID="07b0319e555514abb4332b16b6ce2f1c">
  <xsd:schema xmlns:xsd="http://www.w3.org/2001/XMLSchema" xmlns:xs="http://www.w3.org/2001/XMLSchema" xmlns:p="http://schemas.microsoft.com/office/2006/metadata/properties" xmlns:ns2="e1b1b7f3-b10e-48cd-877c-282d356c300a" targetNamespace="http://schemas.microsoft.com/office/2006/metadata/properties" ma:root="true" ma:fieldsID="57fa9fa38a73d56a0d9d2a17f036f37b" ns2:_="">
    <xsd:import namespace="e1b1b7f3-b10e-48cd-877c-282d356c300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b7f3-b10e-48cd-877c-282d356c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14CD-5049-4DB3-9D51-370852534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ED1C8-34F4-467E-8B1D-3BA68662CAE0}">
  <ds:schemaRefs>
    <ds:schemaRef ds:uri="http://schemas.microsoft.com/sharepoint/v3/contenttype/forms"/>
  </ds:schemaRefs>
</ds:datastoreItem>
</file>

<file path=customXml/itemProps3.xml><?xml version="1.0" encoding="utf-8"?>
<ds:datastoreItem xmlns:ds="http://schemas.openxmlformats.org/officeDocument/2006/customXml" ds:itemID="{C29E4D4E-9DC7-4227-AE18-7A7F9503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b7f3-b10e-48cd-877c-282d356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01D12-F5A0-400D-97BE-521AE566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4902</Words>
  <Characters>27946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Moen (LCA)</dc:creator>
  <cp:keywords/>
  <dc:description/>
  <cp:lastModifiedBy>Morgan Robinson (ADITI TECHNOLOGIES PRIVATE LIM)</cp:lastModifiedBy>
  <cp:revision>5</cp:revision>
  <cp:lastPrinted>2017-03-10T18:57:00Z</cp:lastPrinted>
  <dcterms:created xsi:type="dcterms:W3CDTF">2018-04-07T02:52:00Z</dcterms:created>
  <dcterms:modified xsi:type="dcterms:W3CDTF">2019-01-11T19:51:00Z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build_version">
    <vt:lpwstr>2.6</vt:lpwstr>
  </property>
  <property fmtid="{D5CDD505-2E9C-101B-9397-08002B2CF9AE}" pid="3" name="db_charger_document_reference">
    <vt:i4>18188</vt:i4>
  </property>
  <property fmtid="{D5CDD505-2E9C-101B-9397-08002B2CF9AE}" pid="4" name="db_charger_client_name">
    <vt:lpwstr>tbc</vt:lpwstr>
  </property>
  <property fmtid="{D5CDD505-2E9C-101B-9397-08002B2CF9AE}" pid="5" name="db_charger_matter_number">
    <vt:lpwstr>tbc</vt:lpwstr>
  </property>
  <property fmtid="{D5CDD505-2E9C-101B-9397-08002B2CF9AE}" pid="6" name="autosave">
    <vt:lpwstr>false</vt:lpwstr>
  </property>
  <property fmtid="{D5CDD505-2E9C-101B-9397-08002B2CF9AE}" pid="7" name="owner">
    <vt:lpwstr>REDMOND\kathan</vt:lpwstr>
  </property>
  <property fmtid="{D5CDD505-2E9C-101B-9397-08002B2CF9AE}" pid="8" name="db_master_reference">
    <vt:lpwstr>USETERMS_RETAILSUPER_ENGLISH</vt:lpwstr>
  </property>
  <property fmtid="{D5CDD505-2E9C-101B-9397-08002B2CF9AE}" pid="9" name="db_master_version">
    <vt:lpwstr>20061002</vt:lpwstr>
  </property>
  <property fmtid="{D5CDD505-2E9C-101B-9397-08002B2CF9AE}" pid="10" name="db_master_clock">
    <vt:i4>559</vt:i4>
  </property>
  <property fmtid="{D5CDD505-2E9C-101B-9397-08002B2CF9AE}" pid="11" name="db_master_name">
    <vt:lpwstr>List of Retail Software License Terms Languages</vt:lpwstr>
  </property>
  <property fmtid="{D5CDD505-2E9C-101B-9397-08002B2CF9AE}" pid="12" name="db_master_description">
    <vt:lpwstr> </vt:lpwstr>
  </property>
  <property fmtid="{D5CDD505-2E9C-101B-9397-08002B2CF9AE}" pid="13" name="db_output_filter_reference">
    <vt:lpwstr/>
  </property>
  <property fmtid="{D5CDD505-2E9C-101B-9397-08002B2CF9AE}" pid="14" name="db_base_url">
    <vt:lpwstr>http://usetermassembly/dealbuilder_live/DealBuilderNET/dealbuilder.aspx</vt:lpwstr>
  </property>
  <property fmtid="{D5CDD505-2E9C-101B-9397-08002B2CF9AE}" pid="15" name="SoftwareType">
    <vt:lpwstr>NA</vt:lpwstr>
  </property>
  <property fmtid="{D5CDD505-2E9C-101B-9397-08002B2CF9AE}" pid="16" name="Channel">
    <vt:lpwstr>Retail</vt:lpwstr>
  </property>
  <property fmtid="{D5CDD505-2E9C-101B-9397-08002B2CF9AE}" pid="17" name="PublishDate">
    <vt:lpwstr>2007/11/30</vt:lpwstr>
  </property>
  <property fmtid="{D5CDD505-2E9C-101B-9397-08002B2CF9AE}" pid="18" name="RetirementDate">
    <vt:lpwstr>2017/11/30</vt:lpwstr>
  </property>
  <property fmtid="{D5CDD505-2E9C-101B-9397-08002B2CF9AE}" pid="19" name="Language">
    <vt:lpwstr>Chinese (Simplified);Chinese (Traditional);English;French;German;Italian;Japanese;Korean;Spanish</vt:lpwstr>
  </property>
  <property fmtid="{D5CDD505-2E9C-101B-9397-08002B2CF9AE}" pid="20" name="CanadaAvail">
    <vt:bool>true</vt:bool>
  </property>
  <property fmtid="{D5CDD505-2E9C-101B-9397-08002B2CF9AE}" pid="21" name="CanadaFrench">
    <vt:bool>true</vt:bool>
  </property>
  <property fmtid="{D5CDD505-2E9C-101B-9397-08002B2CF9AE}" pid="22" name="FileFormat">
    <vt:bool>false</vt:bool>
  </property>
  <property fmtid="{D5CDD505-2E9C-101B-9397-08002B2CF9AE}" pid="23" name="ProductName">
    <vt:lpwstr>Visual Studio 2008 Team Foundation Server, Standard Edition</vt:lpwstr>
  </property>
  <property fmtid="{D5CDD505-2E9C-101B-9397-08002B2CF9AE}" pid="24" name="ProductVersion">
    <vt:lpwstr>3</vt:lpwstr>
  </property>
  <property fmtid="{D5CDD505-2E9C-101B-9397-08002B2CF9AE}" pid="25" name="ProductEditions?">
    <vt:bool>true</vt:bool>
  </property>
  <property fmtid="{D5CDD505-2E9C-101B-9397-08002B2CF9AE}" pid="26" name="ProductEditions">
    <vt:lpwstr>Workgroup Edition and Trial Edition</vt:lpwstr>
  </property>
  <property fmtid="{D5CDD505-2E9C-101B-9397-08002B2CF9AE}" pid="27" name="LicenseModel">
    <vt:lpwstr>Servers - Server/CAL</vt:lpwstr>
  </property>
  <property fmtid="{D5CDD505-2E9C-101B-9397-08002B2CF9AE}" pid="28" name="ServerCAL">
    <vt:lpwstr>None of the above</vt:lpwstr>
  </property>
  <property fmtid="{D5CDD505-2E9C-101B-9397-08002B2CF9AE}" pid="29" name="OtherAddSW">
    <vt:bool>true</vt:bool>
  </property>
  <property fmtid="{D5CDD505-2E9C-101B-9397-08002B2CF9AE}" pid="30" name="OtherAddSWName">
    <vt:lpwstr>Team Explorer_x000d_Team Foundation Build_x000d_Team Foundation Server Sharepoint Extensions</vt:lpwstr>
  </property>
  <property fmtid="{D5CDD505-2E9C-101B-9397-08002B2CF9AE}" pid="31" name="OtherMicrosoftPrograms">
    <vt:bool>true</vt:bool>
  </property>
  <property fmtid="{D5CDD505-2E9C-101B-9397-08002B2CF9AE}" pid="32" name="OtherMicrosoftProgramsTerms">
    <vt:lpwstr>These license terms</vt:lpwstr>
  </property>
  <property fmtid="{D5CDD505-2E9C-101B-9397-08002B2CF9AE}" pid="33" name="BenchmarkNet">
    <vt:bool>true</vt:bool>
  </property>
  <property fmtid="{D5CDD505-2E9C-101B-9397-08002B2CF9AE}" pid="34" name="MSDEWindows">
    <vt:bool>false</vt:bool>
  </property>
  <property fmtid="{D5CDD505-2E9C-101B-9397-08002B2CF9AE}" pid="35" name="MPEG">
    <vt:bool>false</vt:bool>
  </property>
  <property fmtid="{D5CDD505-2E9C-101B-9397-08002B2CF9AE}" pid="36" name="PrereleaseCode">
    <vt:bool>false</vt:bool>
  </property>
  <property fmtid="{D5CDD505-2E9C-101B-9397-08002B2CF9AE}" pid="37" name="ThirdPartyPrograms">
    <vt:bool>false</vt:bool>
  </property>
  <property fmtid="{D5CDD505-2E9C-101B-9397-08002B2CF9AE}" pid="38" name="DistributableCode">
    <vt:bool>false</vt:bool>
  </property>
  <property fmtid="{D5CDD505-2E9C-101B-9397-08002B2CF9AE}" pid="39" name="DistributableCodeType">
    <vt:lpwstr/>
  </property>
  <property fmtid="{D5CDD505-2E9C-101B-9397-08002B2CF9AE}" pid="40" name="InternetBasedServices">
    <vt:bool>true</vt:bool>
  </property>
  <property fmtid="{D5CDD505-2E9C-101B-9397-08002B2CF9AE}" pid="41" name="InternetBasedServicesTerms">
    <vt:bool>false</vt:bool>
  </property>
  <property fmtid="{D5CDD505-2E9C-101B-9397-08002B2CF9AE}" pid="42" name="InternetBasedServicesInteractive">
    <vt:bool>false</vt:bool>
  </property>
  <property fmtid="{D5CDD505-2E9C-101B-9397-08002B2CF9AE}" pid="43" name="InternetBasedServicesFeaturesDesc">
    <vt:lpwstr/>
  </property>
  <property fmtid="{D5CDD505-2E9C-101B-9397-08002B2CF9AE}" pid="44" name="MandatoryActivation">
    <vt:bool>false</vt:bool>
  </property>
  <property fmtid="{D5CDD505-2E9C-101B-9397-08002B2CF9AE}" pid="45" name="Multiplexing">
    <vt:bool>true</vt:bool>
  </property>
  <property fmtid="{D5CDD505-2E9C-101B-9397-08002B2CF9AE}" pid="46" name="SingleUse">
    <vt:bool>false</vt:bool>
  </property>
  <property fmtid="{D5CDD505-2E9C-101B-9397-08002B2CF9AE}" pid="47" name="AdditionalFunctionality">
    <vt:bool>true</vt:bool>
  </property>
  <property fmtid="{D5CDD505-2E9C-101B-9397-08002B2CF9AE}" pid="48" name="Benchmarking">
    <vt:bool>false</vt:bool>
  </property>
  <property fmtid="{D5CDD505-2E9C-101B-9397-08002B2CF9AE}" pid="49" name="MarkedSoftware">
    <vt:lpwstr>Not for Resale (NFR);Academic Edition (AE);Version Upgrade</vt:lpwstr>
  </property>
  <property fmtid="{D5CDD505-2E9C-101B-9397-08002B2CF9AE}" pid="50" name="Downgrade">
    <vt:bool>false</vt:bool>
  </property>
  <property fmtid="{D5CDD505-2E9C-101B-9397-08002B2CF9AE}" pid="51" name="ProofofLicense">
    <vt:bool>true</vt:bool>
  </property>
  <property fmtid="{D5CDD505-2E9C-101B-9397-08002B2CF9AE}" pid="52" name="Transfer">
    <vt:lpwstr>Transfer to a third party</vt:lpwstr>
  </property>
  <property fmtid="{D5CDD505-2E9C-101B-9397-08002B2CF9AE}" pid="53" name="VolumeLicensingSoftware">
    <vt:bool>true</vt:bool>
  </property>
  <property fmtid="{D5CDD505-2E9C-101B-9397-08002B2CF9AE}" pid="54" name="Virtualization">
    <vt:bool>true</vt:bool>
  </property>
  <property fmtid="{D5CDD505-2E9C-101B-9397-08002B2CF9AE}" pid="55" name="db_commit">
    <vt:lpwstr>SoftwareType</vt:lpwstr>
  </property>
  <property fmtid="{D5CDD505-2E9C-101B-9397-08002B2CF9AE}" pid="56" name="ContentTypeId">
    <vt:lpwstr>0x010100EA435CC6EA8BD841AC740EA94DDF8D1E</vt:lpwstr>
  </property>
  <property fmtid="{D5CDD505-2E9C-101B-9397-08002B2CF9AE}" pid="57" name="MSIP_Label_f42aa342-8706-4288-bd11-ebb85995028c_Enabled">
    <vt:lpwstr>True</vt:lpwstr>
  </property>
  <property fmtid="{D5CDD505-2E9C-101B-9397-08002B2CF9AE}" pid="58" name="MSIP_Label_f42aa342-8706-4288-bd11-ebb85995028c_SiteId">
    <vt:lpwstr>72f988bf-86f1-41af-91ab-2d7cd011db47</vt:lpwstr>
  </property>
  <property fmtid="{D5CDD505-2E9C-101B-9397-08002B2CF9AE}" pid="59" name="MSIP_Label_f42aa342-8706-4288-bd11-ebb85995028c_Ref">
    <vt:lpwstr>https://api.informationprotection.azure.com/api/72f988bf-86f1-41af-91ab-2d7cd011db47</vt:lpwstr>
  </property>
  <property fmtid="{D5CDD505-2E9C-101B-9397-08002B2CF9AE}" pid="60" name="MSIP_Label_f42aa342-8706-4288-bd11-ebb85995028c_Owner">
    <vt:lpwstr>samitj@microsoft.com</vt:lpwstr>
  </property>
  <property fmtid="{D5CDD505-2E9C-101B-9397-08002B2CF9AE}" pid="61" name="MSIP_Label_f42aa342-8706-4288-bd11-ebb85995028c_SetDate">
    <vt:lpwstr>2017-09-25T10:51:03.9981340-07:00</vt:lpwstr>
  </property>
  <property fmtid="{D5CDD505-2E9C-101B-9397-08002B2CF9AE}" pid="62" name="MSIP_Label_f42aa342-8706-4288-bd11-ebb85995028c_Name">
    <vt:lpwstr>General</vt:lpwstr>
  </property>
  <property fmtid="{D5CDD505-2E9C-101B-9397-08002B2CF9AE}" pid="63" name="MSIP_Label_f42aa342-8706-4288-bd11-ebb85995028c_Application">
    <vt:lpwstr>Microsoft Azure Information Protection</vt:lpwstr>
  </property>
  <property fmtid="{D5CDD505-2E9C-101B-9397-08002B2CF9AE}" pid="64" name="MSIP_Label_f42aa342-8706-4288-bd11-ebb85995028c_Extended_MSFT_Method">
    <vt:lpwstr>Automatic</vt:lpwstr>
  </property>
  <property fmtid="{D5CDD505-2E9C-101B-9397-08002B2CF9AE}" pid="65" name="Sensitivity">
    <vt:lpwstr>General</vt:lpwstr>
  </property>
</Properties>
</file>