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D6" w:rsidRPr="00D035EF" w:rsidRDefault="001A0275" w:rsidP="007036FC">
      <w:pPr>
        <w:pStyle w:val="HeadingEULA"/>
        <w:rPr>
          <w:lang w:val="pl-PL"/>
        </w:rPr>
      </w:pPr>
      <w:r w:rsidRPr="00D035EF">
        <w:rPr>
          <w:rFonts w:eastAsia="Tahoma"/>
          <w:lang w:val="pl-PL"/>
        </w:rPr>
        <w:t>POSTANOWIENIA LICENCYJNE DOTYCZĄCE OPROGRAMOWANIA MICROSOFT W WERSJI WSTĘPNEJ</w:t>
      </w:r>
    </w:p>
    <w:p w:rsidR="00073C7B" w:rsidRPr="00D035EF" w:rsidRDefault="001A0275" w:rsidP="007036FC">
      <w:pPr>
        <w:pStyle w:val="HeadingEULA"/>
        <w:rPr>
          <w:lang w:val="pl-PL"/>
        </w:rPr>
      </w:pPr>
      <w:r w:rsidRPr="00D035EF">
        <w:rPr>
          <w:rFonts w:eastAsia="Tahoma"/>
          <w:lang w:val="pl-PL"/>
        </w:rPr>
        <w:t>RODZINA PRODUKTÓW MICROSOFT VISUAL STUDIO 2019</w:t>
      </w:r>
    </w:p>
    <w:p w:rsidR="00561C14" w:rsidRPr="00D035EF" w:rsidRDefault="001A0275" w:rsidP="00D035EF">
      <w:pPr>
        <w:pStyle w:val="Preamble"/>
        <w:ind w:left="0" w:firstLine="0"/>
        <w:rPr>
          <w:b w:val="0"/>
          <w:bCs w:val="0"/>
          <w:lang w:val="pl-PL"/>
        </w:rPr>
      </w:pPr>
      <w:r w:rsidRPr="00D035EF">
        <w:rPr>
          <w:rFonts w:eastAsia="Tahoma"/>
          <w:b w:val="0"/>
          <w:bCs w:val="0"/>
          <w:lang w:val="pl-PL"/>
        </w:rPr>
        <w:t>Niniejsze postanowienia licencyjne stanowią umowę między Licencjobiorcą a Microsoft Corporation (albo, w zależności od miejsca zamieszkania Licencjobiorcy, jednym z podmiotów stowarzyszonych Microsoft Corporation). Postanowienia te dotyczą określonego powyżej oprogramowania w wersji wstępnej. Niniejsze postanowienia mają również zastosowanie do wszelkich usług i aktualizacji Microsoft dla niniejszego oprogramowania, z wyjątkiem tych, którym towarzyszą odrębne postanowienia.</w:t>
      </w:r>
    </w:p>
    <w:p w:rsidR="00561C14" w:rsidRPr="00D035EF" w:rsidRDefault="001A0275" w:rsidP="007036FC">
      <w:pPr>
        <w:pStyle w:val="PreambleBorderAbove"/>
        <w:rPr>
          <w:lang w:val="pl-PL"/>
        </w:rPr>
      </w:pPr>
      <w:r w:rsidRPr="00D035EF">
        <w:rPr>
          <w:rFonts w:eastAsia="Tahoma"/>
          <w:lang w:val="pl-PL"/>
        </w:rPr>
        <w:t>JEŚLI LICENCJOBIORCA PRZESTRZEGA NINIEJSZYCH POSTANOWIEŃ LICENCYJNYCH, UZYSKUJE OPISANE PONIŻEJ PRAWA.</w:t>
      </w:r>
    </w:p>
    <w:p w:rsidR="00561C14" w:rsidRPr="00D035EF" w:rsidRDefault="001A0275" w:rsidP="007036FC">
      <w:pPr>
        <w:pStyle w:val="Heading1"/>
        <w:rPr>
          <w:lang w:val="pl-PL"/>
        </w:rPr>
      </w:pPr>
      <w:r w:rsidRPr="00D035EF">
        <w:rPr>
          <w:rFonts w:eastAsia="Tahoma"/>
          <w:lang w:val="pl-PL"/>
        </w:rPr>
        <w:t>PRAWA DO INSTALACJI I UŻYWANIA</w:t>
      </w:r>
    </w:p>
    <w:p w:rsidR="00561C14" w:rsidRPr="00D035EF" w:rsidRDefault="001A0275" w:rsidP="00D035EF">
      <w:pPr>
        <w:pStyle w:val="CommentText"/>
        <w:numPr>
          <w:ilvl w:val="0"/>
          <w:numId w:val="50"/>
        </w:numPr>
        <w:rPr>
          <w:lang w:val="pl-PL"/>
        </w:rPr>
      </w:pPr>
      <w:bookmarkStart w:id="0" w:name="_Hlk485818776"/>
      <w:r w:rsidRPr="00D035EF">
        <w:rPr>
          <w:rFonts w:eastAsia="Tahoma"/>
          <w:lang w:val="pl-PL"/>
        </w:rPr>
        <w:t>Licencjobiorca może dokonać instalacji i korzystać z dowolnej liczby kopii oprogramowania na posiadanych przez niego urządzeniach wyłącznie na potrzeby oceny tego oprogramowania. Jeśli Licencjobiorca używa oprogramowania na platformie Microsoft Azure, zastosowanie mogą mieć inne opłaty i warunki.</w:t>
      </w:r>
    </w:p>
    <w:p w:rsidR="00145590" w:rsidRPr="00D035EF" w:rsidRDefault="001A0275" w:rsidP="00D035EF">
      <w:pPr>
        <w:pStyle w:val="Bullet3"/>
        <w:tabs>
          <w:tab w:val="clear" w:pos="1080"/>
          <w:tab w:val="num" w:pos="720"/>
        </w:tabs>
        <w:ind w:left="720" w:hanging="360"/>
        <w:rPr>
          <w:rFonts w:eastAsia="SimSun"/>
          <w:lang w:val="pl-PL"/>
        </w:rPr>
      </w:pPr>
      <w:r w:rsidRPr="00D035EF">
        <w:rPr>
          <w:rFonts w:eastAsia="Tahoma"/>
          <w:lang w:val="pl-PL"/>
        </w:rPr>
        <w:t>Licencjobiorca nie może rozpowszechniać żadnej aplikacji opracowanej przy użyciu oprogramowania. Może jednak wdrażać takie aplikacje wewnętrznie wyłącznie w celu dokonania ewaluacji technologii wdrażania w oprogramowaniu.</w:t>
      </w:r>
    </w:p>
    <w:p w:rsidR="00C41708" w:rsidRPr="00D035EF" w:rsidRDefault="001A0275" w:rsidP="00D035EF">
      <w:pPr>
        <w:pStyle w:val="Bullet3"/>
        <w:tabs>
          <w:tab w:val="clear" w:pos="1080"/>
          <w:tab w:val="num" w:pos="720"/>
        </w:tabs>
        <w:ind w:left="720" w:hanging="360"/>
        <w:rPr>
          <w:rFonts w:eastAsia="SimSun"/>
          <w:lang w:val="pl-PL"/>
        </w:rPr>
      </w:pPr>
      <w:r w:rsidRPr="00D035EF">
        <w:rPr>
          <w:rFonts w:eastAsia="Tahoma"/>
          <w:lang w:val="pl-PL"/>
        </w:rPr>
        <w:t>Licencjobiorca nie może testować oprogramowania w rzeczywistym środowisku operacyjnym, o ile Microsoft nie zezwoli na to w odrębnej umowie.</w:t>
      </w:r>
    </w:p>
    <w:bookmarkEnd w:id="0"/>
    <w:p w:rsidR="001A6F2C" w:rsidRPr="00D035EF" w:rsidRDefault="001A0275" w:rsidP="007036FC">
      <w:pPr>
        <w:pStyle w:val="Heading1"/>
        <w:rPr>
          <w:lang w:val="pl-PL"/>
        </w:rPr>
      </w:pPr>
      <w:r w:rsidRPr="00D035EF">
        <w:rPr>
          <w:rFonts w:eastAsia="Tahoma"/>
          <w:lang w:val="pl-PL"/>
        </w:rPr>
        <w:t xml:space="preserve">USŁUGI ONLINE W OPROGRAMOWANIU. </w:t>
      </w:r>
      <w:r w:rsidRPr="00B3573B">
        <w:rPr>
          <w:rFonts w:eastAsia="Tahoma"/>
          <w:b w:val="0"/>
          <w:bCs w:val="0"/>
          <w:lang w:val="pl-PL"/>
        </w:rPr>
        <w:t>Niektóre funkcje oprogramowania wykorzystują usługi online w celu dostarczania Licencjobiorcy informacji o aktualizacjach lub rozszerzeniach oprogramowania, a także umożliwienia pobierania treści, współpracy z innymi użytkownikami lub w innego rodzaju uzupełnienia wrażeń Licencjobiorcy. W niniejszej umowie termin „oprogramowanie” obejmuje te funkcje usług online i poprzez korzystanie z nich Licencjobiorca wyraża zgodę na przekazywanie informacji zgodnie z opisem w punkcie 6, DANE.</w:t>
      </w:r>
    </w:p>
    <w:p w:rsidR="005E2D37" w:rsidRPr="00D035EF" w:rsidRDefault="001A0275" w:rsidP="007036FC">
      <w:pPr>
        <w:pStyle w:val="Heading1"/>
        <w:rPr>
          <w:lang w:val="pl-PL"/>
        </w:rPr>
      </w:pPr>
      <w:r w:rsidRPr="00D035EF">
        <w:rPr>
          <w:rFonts w:eastAsia="Tahoma"/>
          <w:lang w:val="pl-PL"/>
        </w:rPr>
        <w:t xml:space="preserve">OPROGRAMOWANIE W WERSJI WSTĘPNEJ. </w:t>
      </w:r>
      <w:r w:rsidRPr="00B3573B">
        <w:rPr>
          <w:rFonts w:eastAsia="Tahoma"/>
          <w:b w:val="0"/>
          <w:bCs w:val="0"/>
          <w:lang w:val="pl-PL"/>
        </w:rPr>
        <w:t>Oprogramowanie jest w wersji wstępnej. Może zatem nie działać poprawnie lub działać inaczej niż jego ostateczna wersja. Microsoft może zamienić wersję wstępną na ostateczną wersję komercyjną. Microsoft nie ma obowiązku świadczyć na rzecz Licencjobiorcy usług konserwacji, pomocy technicznej ani aktualizacji w związku z oprogramowaniem.</w:t>
      </w:r>
    </w:p>
    <w:p w:rsidR="005E2D37" w:rsidRPr="00D035EF" w:rsidRDefault="001A0275" w:rsidP="007036FC">
      <w:pPr>
        <w:pStyle w:val="Heading1"/>
        <w:rPr>
          <w:lang w:val="pl-PL"/>
        </w:rPr>
      </w:pPr>
      <w:r w:rsidRPr="00D035EF">
        <w:rPr>
          <w:rFonts w:eastAsia="Tahoma"/>
          <w:lang w:val="pl-PL"/>
        </w:rPr>
        <w:t xml:space="preserve">UWAGI NA TEMAT PRODUKTU. </w:t>
      </w:r>
      <w:r w:rsidRPr="00B3573B">
        <w:rPr>
          <w:rFonts w:eastAsia="Tahoma"/>
          <w:b w:val="0"/>
          <w:bCs w:val="0"/>
          <w:lang w:val="pl-PL"/>
        </w:rPr>
        <w:t>Podzielenie się z Microsoft uwagami na temat oprogramowania jest równoznaczne z nieodpłatnym udzieleniem Microsoft prawa do używania, udostępniania oraz komercjalizacji tych uwag w dowolny sposób oraz w dowolnym celu. Licencjobiorca nie będzie przekazywać uwag, które byłyby objęte licencją, na mocy której Microsoft zmuszony byłby do udzielania osobom trzecim licencji na swoje oprogramowanie lub dokumentację z powodu włączenia do nich takich uwag. Prawa te pozostają w mocy po wygaśnięciu niniejszej umowy.</w:t>
      </w:r>
    </w:p>
    <w:p w:rsidR="0089566E" w:rsidRPr="00D035EF" w:rsidRDefault="001A0275" w:rsidP="007036FC">
      <w:pPr>
        <w:pStyle w:val="Heading1"/>
        <w:rPr>
          <w:rFonts w:eastAsia="SimSun"/>
          <w:lang w:val="pl-PL"/>
        </w:rPr>
      </w:pPr>
      <w:r w:rsidRPr="00D035EF">
        <w:rPr>
          <w:rFonts w:eastAsia="Tahoma"/>
          <w:lang w:val="pl-PL"/>
        </w:rPr>
        <w:t>POSTANOWIENIA DOTYCZĄCE POSZCZEGÓLNYCH SKŁADNIKÓW.</w:t>
      </w:r>
    </w:p>
    <w:p w:rsidR="007B3889" w:rsidRPr="00D035EF" w:rsidRDefault="001A0275" w:rsidP="00B3573B">
      <w:pPr>
        <w:pStyle w:val="Heading2"/>
        <w:rPr>
          <w:lang w:val="pl-PL"/>
        </w:rPr>
      </w:pPr>
      <w:r w:rsidRPr="00D035EF">
        <w:rPr>
          <w:rFonts w:eastAsia="Calibri"/>
          <w:lang w:val="pl-PL"/>
        </w:rPr>
        <w:t xml:space="preserve">Rozdzielanie składników; Obciążenia. </w:t>
      </w:r>
      <w:r w:rsidRPr="00E31E37">
        <w:rPr>
          <w:rFonts w:eastAsia="Calibri"/>
          <w:b w:val="0"/>
          <w:bCs w:val="0"/>
          <w:lang w:val="pl-PL"/>
        </w:rPr>
        <w:t>O ile postanowienia niniejszej umowy nie stanowią inaczej, (i) składniki oprogramowania są licencjonowane jako całość i (ii) Licencjobiorca nie można ich rozdzielać ani instalować na różnych urządzeniach. Niniejsza umowa ma zastosowanie do używania przez Licencjobiorcę obciążeń udostępnionych mu w ramach oprogramowania, z wyjątkiem zakresu, w jakim obciążenie lub składnik obciążenia jest udostępniany na mocy innych postanowień.</w:t>
      </w:r>
    </w:p>
    <w:p w:rsidR="00894F25" w:rsidRPr="00D035EF" w:rsidRDefault="001A0275" w:rsidP="00B3573B">
      <w:pPr>
        <w:pStyle w:val="Heading2"/>
        <w:rPr>
          <w:lang w:val="pl-PL"/>
        </w:rPr>
      </w:pPr>
      <w:r w:rsidRPr="00D035EF">
        <w:rPr>
          <w:rFonts w:eastAsia="Calibri"/>
          <w:lang w:val="pl-PL"/>
        </w:rPr>
        <w:t xml:space="preserve">Narzędzia. </w:t>
      </w:r>
      <w:r w:rsidRPr="00E31E37">
        <w:rPr>
          <w:rFonts w:eastAsia="Calibri"/>
          <w:b w:val="0"/>
          <w:bCs w:val="0"/>
          <w:lang w:val="pl-PL"/>
        </w:rPr>
        <w:t xml:space="preserve">Oprogramowanie może zawierać niektóre elementy z Listy narzędzi znajdującej się na stronie </w:t>
      </w:r>
      <w:hyperlink r:id="rId11" w:history="1">
        <w:r w:rsidRPr="00E31E37">
          <w:rPr>
            <w:rFonts w:eastAsia="Calibri" w:cs="Times New Roman"/>
            <w:b w:val="0"/>
            <w:bCs w:val="0"/>
            <w:color w:val="0000FF"/>
            <w:u w:val="single"/>
            <w:lang w:val="pl-PL"/>
          </w:rPr>
          <w:t>https://aka.ms/vsredutil</w:t>
        </w:r>
      </w:hyperlink>
      <w:r w:rsidRPr="00E31E37">
        <w:rPr>
          <w:rFonts w:eastAsia="Calibri"/>
          <w:b w:val="0"/>
          <w:bCs w:val="0"/>
          <w:color w:val="1F4E79"/>
          <w:lang w:val="pl-PL"/>
        </w:rPr>
        <w:t xml:space="preserve">. </w:t>
      </w:r>
      <w:r w:rsidRPr="00E31E37">
        <w:rPr>
          <w:rFonts w:eastAsia="Calibri"/>
          <w:b w:val="0"/>
          <w:bCs w:val="0"/>
          <w:lang w:val="pl-PL"/>
        </w:rPr>
        <w:t xml:space="preserve">Licencjobiorca może kopiować i instalować te Narzędzia, o ile stanowią one część oprogramowania, na własnych urządzeniach w celu debugowania i wewnętrznego </w:t>
      </w:r>
      <w:r w:rsidRPr="00E31E37">
        <w:rPr>
          <w:rFonts w:eastAsia="Calibri"/>
          <w:b w:val="0"/>
          <w:bCs w:val="0"/>
          <w:lang w:val="pl-PL"/>
        </w:rPr>
        <w:lastRenderedPageBreak/>
        <w:t>wdrażania aplikacji, które Licencjobiorca opracowuje przy użyciu oprogramowania. Należy pamiętać, że Narzędzia są przeznaczone do tymczasowego użycia i Microsoft może nie być w stanie dokonać naprawy lub aktualizacji danego Narzędzia oddzielnie od reszty oprogramowania. Ponadto niektóre Narzędzia z definicji mogą umożliwiać osobom trzecim dostęp do urządzeń, na których zostały zainstalowane. Po zakończeniu operacji debugowania lub wewnętrznego wdrażania aplikacji Licencjobiorca powinien zatem usunąć wszystkie zainstalowane Narzędzia. Microsoft nie ponosi odpowiedzialności za używanie lub uzyskiwanie przez osoby trzecie dostępu do Narzędzi zainstalowanych przez Licencjobiorcę na dowolnym urządzeniu.</w:t>
      </w:r>
    </w:p>
    <w:p w:rsidR="00894F25" w:rsidRPr="00D035EF" w:rsidRDefault="001A0275" w:rsidP="00B3573B">
      <w:pPr>
        <w:pStyle w:val="Heading2"/>
        <w:rPr>
          <w:lang w:val="pl-PL"/>
        </w:rPr>
      </w:pPr>
      <w:r w:rsidRPr="00D035EF">
        <w:rPr>
          <w:rFonts w:eastAsia="Calibri"/>
          <w:lang w:val="pl-PL"/>
        </w:rPr>
        <w:t xml:space="preserve">Urządzenia z Kompilacją i narzędzia Visual Studio Build. </w:t>
      </w:r>
      <w:r w:rsidRPr="00E31E37">
        <w:rPr>
          <w:rFonts w:eastAsia="Calibri"/>
          <w:b w:val="0"/>
          <w:bCs w:val="0"/>
          <w:lang w:val="pl-PL"/>
        </w:rPr>
        <w:t>Licencjobiorca może kopiować pliki z oprogramowania lub pakietu narzędzi Visual Studio Build Tools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na platformie Microsoft Azure przez Licencjobiorcę lub są przeznaczone wyłącznie do użytku Licencjobiorcy (łącznie „Urządzenia z Kompilacją”). Licencjobiorca i inni użytkownicy w jego organizacji mogą używać tych plików na Urządzeniach z Kompilacją wyłącznie w celu kompilowania, tworzenia i weryfikowania aplikacji oraz uruchamiania testów jakości i wydajności tych aplikacji w ramach procesu kompilacji. Termin „aplikacje” oznacza aplikacje i inne projekty kodów oprogramowania opracowane przez Licencjobiorcę i innych użytkowników w jego organizacji objętych stosowną licencją na używanie oprogramowania.</w:t>
      </w:r>
    </w:p>
    <w:p w:rsidR="007B3889" w:rsidRPr="00D035EF" w:rsidRDefault="001A0275" w:rsidP="00B3573B">
      <w:pPr>
        <w:pStyle w:val="Heading2"/>
        <w:rPr>
          <w:lang w:val="pl-PL"/>
        </w:rPr>
      </w:pPr>
      <w:r w:rsidRPr="00D035EF">
        <w:rPr>
          <w:rFonts w:eastAsia="Calibri"/>
          <w:lang w:val="pl-PL"/>
        </w:rPr>
        <w:t xml:space="preserve">Czcionki. </w:t>
      </w:r>
      <w:r w:rsidRPr="00E31E37">
        <w:rPr>
          <w:rFonts w:eastAsia="Calibri"/>
          <w:b w:val="0"/>
          <w:bCs w:val="0"/>
          <w:lang w:val="pl-PL"/>
        </w:rPr>
        <w:t>Gdy oprogramowanie jest uruchomione, Licencjobiorca może używać czcionek tego oprogramowania do wyświetlania i drukowania zawartości. Licencjobiorca może wyłącznie: (i) osadzać czcionki w zawartości, biorąc pod uwagę ograniczenia dotyczące ich osadzania; oraz (ii) tymczasowo pobierać je na drukarkę lub inne urządzenie wyjściowe, aby drukować zawartość.</w:t>
      </w:r>
    </w:p>
    <w:p w:rsidR="00F77B4C" w:rsidRPr="00D035EF" w:rsidRDefault="001A0275" w:rsidP="00B3573B">
      <w:pPr>
        <w:pStyle w:val="Heading2"/>
        <w:rPr>
          <w:lang w:val="pl-PL"/>
        </w:rPr>
      </w:pPr>
      <w:r w:rsidRPr="00D035EF">
        <w:rPr>
          <w:rFonts w:eastAsia="Calibri"/>
          <w:lang w:val="pl-PL"/>
        </w:rPr>
        <w:t>Licencje na inne składniki.</w:t>
      </w:r>
    </w:p>
    <w:p w:rsidR="0089566E" w:rsidRPr="00D035EF" w:rsidRDefault="001A0275" w:rsidP="007036FC">
      <w:pPr>
        <w:pStyle w:val="Bullet3"/>
        <w:rPr>
          <w:lang w:val="pl-PL"/>
        </w:rPr>
      </w:pPr>
      <w:r w:rsidRPr="00D035EF">
        <w:rPr>
          <w:rFonts w:eastAsia="Tahoma"/>
          <w:b/>
          <w:bCs/>
          <w:lang w:val="pl-PL"/>
        </w:rPr>
        <w:t>Platformy Microsoft</w:t>
      </w:r>
      <w:r w:rsidRPr="00D035EF">
        <w:rPr>
          <w:rFonts w:eastAsia="Tahoma"/>
          <w:lang w:val="pl-PL"/>
        </w:rPr>
        <w:t xml:space="preserve">. 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 folderze „Licencje” Microsoft dołączonym do oprogramowania, z zastrzeżeniem, że jeśli postanowienia licencyjne dotyczące tych składników umieszczono także w katalogu instalacyjnym dla składników, to takie postanowienia mają wówczas charakter nadrzędny. </w:t>
      </w:r>
    </w:p>
    <w:p w:rsidR="000632D9" w:rsidRPr="00D035EF" w:rsidRDefault="001A0275" w:rsidP="00B3573B">
      <w:pPr>
        <w:pStyle w:val="Bullet3"/>
        <w:rPr>
          <w:lang w:val="pl-PL"/>
        </w:rPr>
      </w:pPr>
      <w:r w:rsidRPr="00D035EF">
        <w:rPr>
          <w:rFonts w:eastAsia="Calibri"/>
          <w:b/>
          <w:bCs/>
          <w:lang w:val="pl-PL"/>
        </w:rPr>
        <w:t xml:space="preserve">Zasoby deweloperskie. </w:t>
      </w:r>
      <w:r w:rsidRPr="00D035EF">
        <w:rPr>
          <w:rFonts w:eastAsia="Calibri"/>
          <w:lang w:val="pl-PL"/>
        </w:rPr>
        <w:t xml:space="preserve">Oprogramowanie obejmuje kompilatory, języki, środowiska uruchomieniowe, środowiska i inne zasoby. Te składniki mogą podlegać odrębnym umowom zawieranym z Microsoft i odnośnym zasadom udzielania wsparcia w zakresie produktów. Lista takich składników znajduje się pod adresem </w:t>
      </w:r>
      <w:hyperlink r:id="rId12" w:history="1">
        <w:r w:rsidRPr="00D035EF">
          <w:rPr>
            <w:rFonts w:eastAsia="Tahoma"/>
            <w:color w:val="0000FF"/>
            <w:u w:val="single"/>
            <w:lang w:val="pl-PL"/>
          </w:rPr>
          <w:t>https://support.microsoft.com</w:t>
        </w:r>
      </w:hyperlink>
      <w:r w:rsidRPr="00D035EF">
        <w:rPr>
          <w:rFonts w:eastAsia="Calibri"/>
          <w:lang w:val="pl-PL"/>
        </w:rPr>
        <w:t>.</w:t>
      </w:r>
    </w:p>
    <w:p w:rsidR="00962082" w:rsidRPr="00D035EF" w:rsidRDefault="001A0275" w:rsidP="00B3573B">
      <w:pPr>
        <w:pStyle w:val="Bullet3"/>
        <w:rPr>
          <w:lang w:val="pl-PL"/>
        </w:rPr>
      </w:pPr>
      <w:r w:rsidRPr="00D035EF">
        <w:rPr>
          <w:rFonts w:eastAsia="Calibri"/>
          <w:b/>
          <w:bCs/>
          <w:lang w:val="pl-PL"/>
        </w:rPr>
        <w:t xml:space="preserve">Składniki pochodzące od innych firm. </w:t>
      </w:r>
      <w:r w:rsidRPr="00D035EF">
        <w:rPr>
          <w:rFonts w:eastAsia="Calibri"/>
          <w:lang w:val="pl-PL"/>
        </w:rPr>
        <w:t xml:space="preserve">Oprogramowanie może zawierać składniki pochodzące od osób trzecich, objęte odrębnymi informacjami prawnymi lub podlegające innym umowom, zgodnie z ewentualnym opisem w plikach ThirdPartyNotices dołączonych do oprogramowania. </w:t>
      </w:r>
    </w:p>
    <w:p w:rsidR="00AA0100" w:rsidRPr="00D035EF" w:rsidRDefault="001A0275" w:rsidP="00B3573B">
      <w:pPr>
        <w:pStyle w:val="Heading2"/>
        <w:rPr>
          <w:lang w:val="pl-PL"/>
        </w:rPr>
      </w:pPr>
      <w:r w:rsidRPr="00D035EF">
        <w:rPr>
          <w:rFonts w:eastAsia="Calibri"/>
          <w:lang w:val="pl-PL"/>
        </w:rPr>
        <w:t xml:space="preserve">Menedżery pakietów. </w:t>
      </w:r>
      <w:r w:rsidRPr="00E31E37">
        <w:rPr>
          <w:rFonts w:eastAsia="Calibri"/>
          <w:b w:val="0"/>
          <w:bCs w:val="0"/>
          <w:lang w:val="pl-PL"/>
        </w:rPr>
        <w:t>Oprogramowanie zawiera menedżery pakietów, takie jak NuGet, które dają Licencjobiorcy możliwość pobierania innych pakietów oprogramowania pochodzącego od Microsoft i osób trzecich w celu używania ich w aplikacjach Licencjobiorcy. Pakiety te podlegają swoim własnym licencjom, a nie niniejszej umowie. Microsoft nie rozpowszechnia żadnych pakietów osób trzecich, a także nie udziela na nie licencji ani żadnej rękojmi ani gwarancji.</w:t>
      </w:r>
    </w:p>
    <w:p w:rsidR="00C45400" w:rsidRPr="00D035EF" w:rsidRDefault="001A0275" w:rsidP="007036FC">
      <w:pPr>
        <w:pStyle w:val="Heading1"/>
        <w:rPr>
          <w:lang w:val="pl-PL"/>
        </w:rPr>
      </w:pPr>
      <w:r w:rsidRPr="00D035EF">
        <w:rPr>
          <w:rFonts w:eastAsia="Tahoma"/>
          <w:lang w:val="pl-PL"/>
        </w:rPr>
        <w:t>DANE</w:t>
      </w:r>
      <w:r w:rsidRPr="00D035EF">
        <w:rPr>
          <w:rFonts w:eastAsia="Tahoma"/>
          <w:b w:val="0"/>
          <w:bCs w:val="0"/>
          <w:lang w:val="pl-PL"/>
        </w:rPr>
        <w:t>.</w:t>
      </w:r>
    </w:p>
    <w:p w:rsidR="003B5050" w:rsidRPr="00D035EF" w:rsidRDefault="001A0275" w:rsidP="00B3573B">
      <w:pPr>
        <w:pStyle w:val="Heading1"/>
        <w:numPr>
          <w:ilvl w:val="0"/>
          <w:numId w:val="0"/>
        </w:numPr>
        <w:ind w:left="357"/>
        <w:rPr>
          <w:lang w:val="pl-PL"/>
        </w:rPr>
      </w:pPr>
      <w:r w:rsidRPr="00D035EF">
        <w:rPr>
          <w:rFonts w:eastAsia="Tahoma"/>
          <w:lang w:val="pl-PL"/>
        </w:rPr>
        <w:t>a.</w:t>
      </w:r>
      <w:r w:rsidRPr="00D035EF">
        <w:rPr>
          <w:rFonts w:eastAsia="Tahoma"/>
          <w:lang w:val="pl-PL"/>
        </w:rPr>
        <w:tab/>
        <w:t xml:space="preserve">Zbieranie danych. </w:t>
      </w:r>
      <w:r w:rsidRPr="00E31E37">
        <w:rPr>
          <w:rFonts w:eastAsia="Tahoma"/>
          <w:b w:val="0"/>
          <w:bCs w:val="0"/>
          <w:lang w:val="pl-PL"/>
        </w:rPr>
        <w:t xml:space="preserve">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oprogramowania. Istnieją również pewne funkcje oprogramowania, które mogą umożliwić Licencjobiorcy i Microsoft zbieranie danych od użytkowników aplikacji. Jeśli Licencjobiorca używa tych funkcji, musi przestrzegać przepisów </w:t>
      </w:r>
      <w:r w:rsidRPr="00E31E37">
        <w:rPr>
          <w:rFonts w:eastAsia="Tahoma"/>
          <w:b w:val="0"/>
          <w:bCs w:val="0"/>
          <w:lang w:val="pl-PL"/>
        </w:rPr>
        <w:lastRenderedPageBreak/>
        <w:t xml:space="preserve">prawa właściwego, w tym stosownie powiadamiać użytkowników aplikacji Licencjobiorcy o tych działaniach, a także udostępnić im kopię przyjętego przez Microsoft oświadczenia o ochronie prywatności. Oświadczenie to można znaleźć pod adresem </w:t>
      </w:r>
      <w:hyperlink r:id="rId13" w:history="1">
        <w:r w:rsidRPr="00E31E37">
          <w:rPr>
            <w:rFonts w:eastAsia="Tahoma" w:cs="Times New Roman"/>
            <w:b w:val="0"/>
            <w:bCs w:val="0"/>
            <w:color w:val="0000FF"/>
            <w:u w:val="single"/>
            <w:lang w:val="pl-PL"/>
          </w:rPr>
          <w:t>https://go.microsoft.com/fwlink/?LinkID=824704</w:t>
        </w:r>
      </w:hyperlink>
      <w:r w:rsidRPr="00E31E37">
        <w:rPr>
          <w:rFonts w:eastAsia="Tahoma"/>
          <w:b w:val="0"/>
          <w:bCs w:val="0"/>
          <w:lang w:val="pl-PL"/>
        </w:rPr>
        <w:t>. Więcej informacji na temat zbierania i używania danych można znaleźć w dokumentacji oprogramowania i oświadczeniu Microsoft o ochronie prywatności. Używanie przez Licencjobiorcę oprogramowania oznacza zgodę Licencjobiorcy na takie działania.</w:t>
      </w:r>
    </w:p>
    <w:p w:rsidR="004B3A81" w:rsidRPr="00E31E37" w:rsidRDefault="001A0275" w:rsidP="00B3573B">
      <w:pPr>
        <w:pStyle w:val="Heading1"/>
        <w:numPr>
          <w:ilvl w:val="0"/>
          <w:numId w:val="0"/>
        </w:numPr>
        <w:ind w:left="357"/>
        <w:rPr>
          <w:b w:val="0"/>
          <w:bCs w:val="0"/>
          <w:lang w:val="pl-PL"/>
        </w:rPr>
      </w:pPr>
      <w:r w:rsidRPr="00D035EF">
        <w:rPr>
          <w:rFonts w:eastAsia="Tahoma"/>
          <w:lang w:val="pl-PL"/>
        </w:rPr>
        <w:t>b.</w:t>
      </w:r>
      <w:r w:rsidRPr="00D035EF">
        <w:rPr>
          <w:rFonts w:eastAsia="Tahoma"/>
          <w:lang w:val="pl-PL"/>
        </w:rPr>
        <w:tab/>
        <w:t xml:space="preserve">Przetwarzanie danych osobowych. </w:t>
      </w:r>
      <w:r w:rsidRPr="00E31E37">
        <w:rPr>
          <w:rFonts w:eastAsia="Tahoma"/>
          <w:b w:val="0"/>
          <w:bCs w:val="0"/>
          <w:lang w:val="pl-PL"/>
        </w:rPr>
        <w:t xml:space="preserve">W zakresie, w jakim Microsoft jest podmiotem przetwarzającym lub podwykonawcą przetwarzania danych osobowych w związku z oprogramowaniem, Microsoft z dniem 25 maja 2018 r. podejmuje wobec wszystkich klientów zobowiązania wynikające z przepisów ogólnego rozporządzenia o ochronie danych przyjętego przez UE, określone w Postanowieniach dotyczących Usług Online, które można znaleźć pod adresem </w:t>
      </w:r>
      <w:hyperlink r:id="rId14" w:history="1">
        <w:r w:rsidRPr="00E31E37">
          <w:rPr>
            <w:rFonts w:eastAsia="Tahoma" w:cs="Times New Roman"/>
            <w:b w:val="0"/>
            <w:bCs w:val="0"/>
            <w:color w:val="0000FF"/>
            <w:u w:val="single"/>
            <w:lang w:val="pl-PL"/>
          </w:rPr>
          <w:t>http://go.microsoft.com/?linkid=9840733</w:t>
        </w:r>
      </w:hyperlink>
      <w:r w:rsidRPr="00E31E37">
        <w:rPr>
          <w:rFonts w:eastAsia="Tahoma"/>
          <w:b w:val="0"/>
          <w:bCs w:val="0"/>
          <w:lang w:val="pl-PL"/>
        </w:rPr>
        <w:t>.</w:t>
      </w:r>
    </w:p>
    <w:p w:rsidR="00561C14" w:rsidRPr="00D035EF" w:rsidRDefault="001A0275" w:rsidP="007036FC">
      <w:pPr>
        <w:pStyle w:val="Heading1"/>
        <w:rPr>
          <w:lang w:val="pl-PL"/>
        </w:rPr>
      </w:pPr>
      <w:r w:rsidRPr="00D035EF">
        <w:rPr>
          <w:rFonts w:eastAsia="Tahoma"/>
          <w:lang w:val="pl-PL"/>
        </w:rPr>
        <w:t xml:space="preserve">WERSJE CZASOWE OPROGRAMOWANIA. </w:t>
      </w:r>
      <w:r w:rsidRPr="00E31E37">
        <w:rPr>
          <w:rFonts w:eastAsia="Tahoma"/>
          <w:b w:val="0"/>
          <w:bCs w:val="0"/>
          <w:lang w:val="pl-PL"/>
        </w:rPr>
        <w:t>Niniejsze oprogramowanie jest uwarunkowane czasowo i przestanie działać w dniu określonym w oprogramowaniu. Prawo Licencjobiorcy do Licencji na korzystanie z oprogramowania również wygasa w tym dniu. Kiedy oprogramowanie przestanie działać, Licencjobiorca może nie mieć dostępu do kopii swojego kodu lub innych danych przechowywanych przez to oprogramowanie.</w:t>
      </w:r>
    </w:p>
    <w:p w:rsidR="00676A32" w:rsidRPr="00D035EF" w:rsidRDefault="001A0275" w:rsidP="007036FC">
      <w:pPr>
        <w:pStyle w:val="Heading1"/>
        <w:rPr>
          <w:lang w:val="pl-PL"/>
        </w:rPr>
      </w:pPr>
      <w:r w:rsidRPr="00D035EF">
        <w:rPr>
          <w:rFonts w:eastAsia="Tahoma"/>
          <w:lang w:val="pl-PL"/>
        </w:rPr>
        <w:t xml:space="preserve">ZAKRES LICENCJI. </w:t>
      </w:r>
      <w:r w:rsidRPr="00E31E37">
        <w:rPr>
          <w:rFonts w:eastAsia="Tahoma"/>
          <w:b w:val="0"/>
          <w:bCs w:val="0"/>
          <w:lang w:val="pl-PL"/>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Na przykład, jeżeli Microsoft technicznie ograniczy lub wyłączy możliwość rozszerzenia oprogramowania, Licencjobiorca nie będzie mógł rozszerzać oprogramowania przez m.in. ładowanie lub wprowadzanie do oprogramowania dodatków, makr lub pakietów niepochodzących od Microsoft lub przez modyfikowanie ustawień rejestru oprogramowania lub dodawanie funkcji czy funkcjonalności odpowiadających funkcjom oferowanych przez inne produkty z rodziny Visual Studio. Ponadto nie wolno:</w:t>
      </w:r>
    </w:p>
    <w:p w:rsidR="00D015E8" w:rsidRPr="00D035EF" w:rsidRDefault="001A0275" w:rsidP="007036FC">
      <w:pPr>
        <w:pStyle w:val="Bullet4"/>
        <w:rPr>
          <w:lang w:val="pl-PL"/>
        </w:rPr>
      </w:pPr>
      <w:bookmarkStart w:id="1" w:name="_Hlk525641398"/>
      <w:r w:rsidRPr="00D035EF">
        <w:rPr>
          <w:rFonts w:eastAsia="Tahoma"/>
          <w:lang w:val="pl-PL"/>
        </w:rPr>
        <w:t>omijać żadnych ograniczeń technicznych oprogramowania;</w:t>
      </w:r>
    </w:p>
    <w:bookmarkEnd w:id="1"/>
    <w:p w:rsidR="00D015E8" w:rsidRPr="00D035EF" w:rsidRDefault="001A0275" w:rsidP="007036FC">
      <w:pPr>
        <w:pStyle w:val="Bullet4"/>
        <w:rPr>
          <w:rFonts w:eastAsia="SimSun"/>
          <w:lang w:val="pl-PL"/>
        </w:rPr>
      </w:pPr>
      <w:r w:rsidRPr="00D035EF">
        <w:rPr>
          <w:rFonts w:eastAsia="Tahoma"/>
          <w:lang w:val="pl-PL"/>
        </w:rPr>
        <w:t>odtwarzać, dekompilować ani deasemblować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 source, które mogą być dołączone do oprogramowania;</w:t>
      </w:r>
    </w:p>
    <w:p w:rsidR="00D015E8" w:rsidRPr="00D035EF" w:rsidRDefault="001A0275" w:rsidP="007036FC">
      <w:pPr>
        <w:pStyle w:val="Bullet4"/>
        <w:rPr>
          <w:lang w:val="pl-PL"/>
        </w:rPr>
      </w:pPr>
      <w:r w:rsidRPr="00D035EF">
        <w:rPr>
          <w:rFonts w:eastAsia="Tahoma"/>
          <w:lang w:val="pl-PL"/>
        </w:rPr>
        <w:t>usuwać, minimalizować, blokować ani modyfikować żadnych umieszczonych w oprogramowaniu powiadomień Microsoft ani dostawców Microsoft;</w:t>
      </w:r>
    </w:p>
    <w:p w:rsidR="00D015E8" w:rsidRPr="00D035EF" w:rsidRDefault="001A0275" w:rsidP="007036FC">
      <w:pPr>
        <w:pStyle w:val="Bullet4"/>
        <w:rPr>
          <w:lang w:val="pl-PL"/>
        </w:rPr>
      </w:pPr>
      <w:r w:rsidRPr="00D035EF">
        <w:rPr>
          <w:rFonts w:eastAsia="Tahoma"/>
          <w:lang w:val="pl-PL"/>
        </w:rPr>
        <w:t xml:space="preserve">używać oprogramowania w sposób niezgodny z prawem; </w:t>
      </w:r>
    </w:p>
    <w:p w:rsidR="000C6508" w:rsidRPr="00D035EF" w:rsidRDefault="001A0275" w:rsidP="007036FC">
      <w:pPr>
        <w:pStyle w:val="Bullet4"/>
        <w:rPr>
          <w:lang w:val="pl-PL"/>
        </w:rPr>
      </w:pPr>
      <w:r w:rsidRPr="00D035EF">
        <w:rPr>
          <w:rFonts w:eastAsia="Tahoma"/>
          <w:lang w:val="pl-PL"/>
        </w:rPr>
        <w:t xml:space="preserve">udostępniać, publikować, wynajmować lub wydzierżawiać oprogramowania ani </w:t>
      </w:r>
    </w:p>
    <w:p w:rsidR="00AD48A4" w:rsidRPr="00D035EF" w:rsidRDefault="001A0275" w:rsidP="007036FC">
      <w:pPr>
        <w:pStyle w:val="Bullet4"/>
        <w:rPr>
          <w:lang w:val="pl-PL"/>
        </w:rPr>
      </w:pPr>
      <w:r w:rsidRPr="00D035EF">
        <w:rPr>
          <w:rFonts w:eastAsia="Tahoma"/>
          <w:lang w:val="pl-PL"/>
        </w:rPr>
        <w:t xml:space="preserve">dostarczać oprogramowania w postaci samodzielnego rozwiązania ani łączyć go z żadną aplikacją Licencjobiorcy w celu używania go przez inne osoby ani przenosić tego oprogramowania lub niniejszej umowy na osobę trzecią. </w:t>
      </w:r>
    </w:p>
    <w:p w:rsidR="00561C14" w:rsidRPr="00D035EF" w:rsidRDefault="001A0275" w:rsidP="007036FC">
      <w:pPr>
        <w:pStyle w:val="Heading1"/>
        <w:rPr>
          <w:rStyle w:val="Hyperlink"/>
          <w:rFonts w:eastAsia="SimSun" w:cs="Tahoma"/>
          <w:b w:val="0"/>
          <w:bCs w:val="0"/>
          <w:sz w:val="20"/>
          <w:szCs w:val="20"/>
          <w:lang w:val="pl-PL"/>
        </w:rPr>
      </w:pPr>
      <w:r w:rsidRPr="00D035EF">
        <w:rPr>
          <w:rFonts w:eastAsia="Tahoma"/>
          <w:lang w:val="pl-PL"/>
        </w:rPr>
        <w:t xml:space="preserve">OGRANICZENIA EKSPORTOWE. </w:t>
      </w:r>
      <w:r w:rsidRPr="00E31E37">
        <w:rPr>
          <w:rFonts w:eastAsia="Tahoma"/>
          <w:b w:val="0"/>
          <w:bCs w:val="0"/>
          <w:lang w:val="pl-PL"/>
        </w:rPr>
        <w:t>Licencjobiorca musi przestrzegać wszelkich krajowych i międzynarodowych przepisów eksportowych mających zastosowanie do oprogramowania, które obejmują ograniczenia w zakresie końcowego użytkownika, końcowego przeznaczenia i kraju przeznaczenia. Więcej informacji na temat ograniczeń eksportowych można znaleźć na stronie</w:t>
      </w:r>
      <w:hyperlink r:id="rId15" w:history="1">
        <w:r w:rsidRPr="00E31E37">
          <w:rPr>
            <w:rFonts w:eastAsia="Tahoma"/>
            <w:b w:val="0"/>
            <w:bCs w:val="0"/>
            <w:color w:val="0000FF"/>
            <w:sz w:val="20"/>
            <w:szCs w:val="20"/>
            <w:u w:val="single"/>
            <w:lang w:val="pl-PL"/>
          </w:rPr>
          <w:t xml:space="preserve"> </w:t>
        </w:r>
      </w:hyperlink>
      <w:r w:rsidRPr="00E31E37">
        <w:rPr>
          <w:rFonts w:eastAsia="Tahoma"/>
          <w:b w:val="0"/>
          <w:bCs w:val="0"/>
          <w:lang w:val="pl-PL"/>
        </w:rPr>
        <w:t>www.microsoft.com/exporting.</w:t>
      </w:r>
    </w:p>
    <w:p w:rsidR="00561C14" w:rsidRPr="00D035EF" w:rsidRDefault="001A0275" w:rsidP="007036FC">
      <w:pPr>
        <w:pStyle w:val="Heading1"/>
        <w:rPr>
          <w:lang w:val="pl-PL"/>
        </w:rPr>
      </w:pPr>
      <w:r w:rsidRPr="00D035EF">
        <w:rPr>
          <w:rFonts w:eastAsia="Tahoma"/>
          <w:lang w:val="pl-PL"/>
        </w:rPr>
        <w:t>POMOC TECHNICZNA. Niniejsze</w:t>
      </w:r>
      <w:r w:rsidRPr="00D035EF">
        <w:rPr>
          <w:rFonts w:eastAsia="Tahoma"/>
          <w:b w:val="0"/>
          <w:bCs w:val="0"/>
          <w:lang w:val="pl-PL"/>
        </w:rPr>
        <w:t xml:space="preserve"> oprogramowanie jest udostępniane Licencjobiorcy w stanie „takim, w jakim jest”, w związku z czym Microsoft może nie świadczyć związanych z tym oprogramowaniem usług pomocy technicznej.</w:t>
      </w:r>
    </w:p>
    <w:p w:rsidR="00561C14" w:rsidRPr="00D035EF" w:rsidRDefault="001A0275" w:rsidP="007036FC">
      <w:pPr>
        <w:pStyle w:val="Heading1"/>
        <w:rPr>
          <w:lang w:val="pl-PL"/>
        </w:rPr>
      </w:pPr>
      <w:r w:rsidRPr="00D035EF">
        <w:rPr>
          <w:rFonts w:eastAsia="Tahoma"/>
          <w:lang w:val="pl-PL"/>
        </w:rPr>
        <w:lastRenderedPageBreak/>
        <w:t xml:space="preserve">CAŁOŚĆ UMOWY. </w:t>
      </w:r>
      <w:r w:rsidRPr="00E31E37">
        <w:rPr>
          <w:rFonts w:eastAsia="Tahoma"/>
          <w:b w:val="0"/>
          <w:bCs w:val="0"/>
          <w:lang w:val="pl-PL"/>
        </w:rPr>
        <w:t>Niniejsza umowa wraz ze wszystkimi postanowieniami dotyczącymi uzupełnień, aktualizacji, usług internetowych i usług pomocy technicznej, z których korzysta Licencjobiorca, stanowią całość umowy dotyczącej oprogramowania i usług pomocy technicznej.</w:t>
      </w:r>
    </w:p>
    <w:p w:rsidR="00561C14" w:rsidRPr="00D035EF" w:rsidRDefault="001A0275" w:rsidP="007036FC">
      <w:pPr>
        <w:pStyle w:val="Heading1"/>
        <w:rPr>
          <w:rFonts w:eastAsia="SimSun"/>
          <w:lang w:val="pl-PL"/>
        </w:rPr>
      </w:pPr>
      <w:r w:rsidRPr="00D035EF">
        <w:rPr>
          <w:rFonts w:eastAsia="Tahoma"/>
          <w:lang w:val="pl-PL"/>
        </w:rPr>
        <w:t>PRAWO WŁAŚCIWE</w:t>
      </w:r>
      <w:r w:rsidR="00E31E37">
        <w:rPr>
          <w:rFonts w:eastAsia="Tahoma"/>
          <w:lang w:val="pl-PL"/>
        </w:rPr>
        <w:t>.</w:t>
      </w:r>
      <w:r w:rsidRPr="00D035EF">
        <w:rPr>
          <w:rFonts w:eastAsia="Tahoma"/>
          <w:lang w:val="pl-PL"/>
        </w:rPr>
        <w:t xml:space="preserve"> </w:t>
      </w:r>
      <w:r w:rsidRPr="00E31E37">
        <w:rPr>
          <w:rFonts w:eastAsia="Tahoma"/>
          <w:b w:val="0"/>
          <w:bCs w:val="0"/>
          <w:lang w:val="pl-PL"/>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r w:rsidRPr="00D035EF">
        <w:rPr>
          <w:rFonts w:eastAsia="Tahoma"/>
          <w:lang w:val="pl-PL"/>
        </w:rPr>
        <w:t xml:space="preserve"> </w:t>
      </w:r>
    </w:p>
    <w:p w:rsidR="00141F26" w:rsidRPr="00D035EF" w:rsidRDefault="001A0275" w:rsidP="007036FC">
      <w:pPr>
        <w:pStyle w:val="Heading1"/>
        <w:rPr>
          <w:lang w:val="pl-PL"/>
        </w:rPr>
      </w:pPr>
      <w:r w:rsidRPr="00D035EF">
        <w:rPr>
          <w:rFonts w:eastAsia="Tahoma"/>
          <w:lang w:val="pl-PL"/>
        </w:rPr>
        <w:t xml:space="preserve">PRAWA KONSUMENTA — RÓŻNICE REGIONALNE. </w:t>
      </w:r>
      <w:r w:rsidRPr="00E31E37">
        <w:rPr>
          <w:rFonts w:eastAsia="Tahoma"/>
          <w:b w:val="0"/>
          <w:bCs w:val="0"/>
          <w:lang w:val="pl-PL"/>
        </w:rPr>
        <w:t>W niniejszej umowie zostały przedstawione niektóre z praw przysługujących stronom. Licencjobiorcy mogą przysługiwać inne prawa, w tym prawa konsumenta, na mocy przepisów prawa obowiązujących w stanie lub kraju Licencjobiorcy. Niezależnie od charakteru relacji Licencjobiorcy z Microsoft, Licencjobiorcy mogą też przysługiwać określone uprawnienia względem strony, od której nabył oprogramowanie. Niniejsza umowa nie zmienia wzmiankowanych innych praw, jeśli prawa przysługujące Licencjobiorcy na mocy ustawodawstwa stanowego lub krajowego nie zezwalają na takie zmiany. Na przykład jeśli Licencjobiorca nabył oprogramowanie w jednym z poniższych regionów lub w przypadku, gdy zastosowanie ma obowiązkowe prawo krajowe, wówczas Licencjobiorca podlega poniższym postanowieniom:</w:t>
      </w:r>
    </w:p>
    <w:p w:rsidR="00141F26" w:rsidRPr="00D035EF" w:rsidRDefault="001A0275" w:rsidP="007036FC">
      <w:pPr>
        <w:pStyle w:val="Heading2"/>
        <w:rPr>
          <w:lang w:val="pl-PL"/>
        </w:rPr>
      </w:pPr>
      <w:r w:rsidRPr="00D035EF">
        <w:rPr>
          <w:rFonts w:eastAsia="Tahoma"/>
          <w:lang w:val="pl-PL"/>
        </w:rPr>
        <w:t xml:space="preserve">Australia. </w:t>
      </w:r>
      <w:r w:rsidRPr="00E31E37">
        <w:rPr>
          <w:rFonts w:eastAsia="Tahoma"/>
          <w:b w:val="0"/>
          <w:bCs w:val="0"/>
          <w:lang w:val="pl-PL"/>
        </w:rPr>
        <w:t>Australijska ustawa o ochronie konsumentów (Australian Consumer Law) przyznaje Licencjobiorcy określone gwarancje i żadne z zawartych w niniejszej umowie postanowień nie ma na celu ograniczenia tych uprawnień.</w:t>
      </w:r>
    </w:p>
    <w:p w:rsidR="00141F26" w:rsidRPr="00D035EF" w:rsidRDefault="001A0275" w:rsidP="007036FC">
      <w:pPr>
        <w:pStyle w:val="Heading2"/>
        <w:rPr>
          <w:lang w:val="pl-PL"/>
        </w:rPr>
      </w:pPr>
      <w:r w:rsidRPr="00D035EF">
        <w:rPr>
          <w:rFonts w:eastAsia="Tahoma"/>
          <w:lang w:val="pl-PL"/>
        </w:rPr>
        <w:t xml:space="preserve">Kanada. </w:t>
      </w:r>
      <w:r w:rsidRPr="00E31E37">
        <w:rPr>
          <w:rFonts w:eastAsia="Tahoma"/>
          <w:b w:val="0"/>
          <w:bCs w:val="0"/>
          <w:lang w:val="pl-PL"/>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rsidR="00141F26" w:rsidRPr="00D035EF" w:rsidRDefault="001A0275" w:rsidP="007036FC">
      <w:pPr>
        <w:pStyle w:val="Heading2"/>
        <w:rPr>
          <w:lang w:val="pl-PL"/>
        </w:rPr>
      </w:pPr>
      <w:r w:rsidRPr="00D035EF">
        <w:rPr>
          <w:rFonts w:eastAsia="Tahoma"/>
          <w:lang w:val="pl-PL"/>
        </w:rPr>
        <w:t>Niemcy i Austria</w:t>
      </w:r>
      <w:r w:rsidRPr="00D035EF">
        <w:rPr>
          <w:rFonts w:eastAsia="Tahoma"/>
          <w:b w:val="0"/>
          <w:bCs w:val="0"/>
          <w:lang w:val="pl-PL"/>
        </w:rPr>
        <w:t>.</w:t>
      </w:r>
    </w:p>
    <w:p w:rsidR="00141F26" w:rsidRPr="00D035EF" w:rsidRDefault="001A0275" w:rsidP="007036FC">
      <w:pPr>
        <w:rPr>
          <w:lang w:val="pl-PL"/>
        </w:rPr>
      </w:pPr>
      <w:r w:rsidRPr="00D035EF">
        <w:rPr>
          <w:rFonts w:eastAsia="Tahoma"/>
          <w:b/>
          <w:bCs/>
          <w:lang w:val="pl-PL"/>
        </w:rPr>
        <w:t>(i)</w:t>
      </w:r>
      <w:r w:rsidRPr="00D035EF">
        <w:rPr>
          <w:rFonts w:eastAsia="Tahoma"/>
          <w:b/>
          <w:bCs/>
          <w:lang w:val="pl-PL"/>
        </w:rPr>
        <w:tab/>
      </w:r>
      <w:r w:rsidRPr="00D035EF">
        <w:rPr>
          <w:rFonts w:eastAsia="Tahoma"/>
          <w:lang w:val="pl-PL"/>
        </w:rPr>
        <w:tab/>
      </w:r>
      <w:r w:rsidRPr="00D035EF">
        <w:rPr>
          <w:rFonts w:eastAsia="Tahoma"/>
          <w:b/>
          <w:bCs/>
          <w:lang w:val="pl-PL"/>
        </w:rPr>
        <w:t>Gwarancja.</w:t>
      </w:r>
      <w:r w:rsidRPr="00D035EF">
        <w:rPr>
          <w:rFonts w:eastAsia="Tahoma"/>
          <w:lang w:val="pl-PL"/>
        </w:rPr>
        <w:t xml:space="preserve"> Oprogramowanie objęte właściwą licencją będzie działać zasadniczo zgodnie z opisem znajdującym się we wszelkich materiałach Microsoft towarzyszących oprogramowaniu. Jednakże Microsoft nie udziela żadnych innych umownych gwarancji ani zapewnień dotyczących licencjonowanego oprogramowania.</w:t>
      </w:r>
    </w:p>
    <w:p w:rsidR="00141F26" w:rsidRPr="00D035EF" w:rsidRDefault="001A0275" w:rsidP="007036FC">
      <w:pPr>
        <w:rPr>
          <w:lang w:val="pl-PL"/>
        </w:rPr>
      </w:pPr>
      <w:r w:rsidRPr="00D035EF">
        <w:rPr>
          <w:rFonts w:eastAsia="Tahoma"/>
          <w:b/>
          <w:bCs/>
          <w:lang w:val="pl-PL"/>
        </w:rPr>
        <w:t>(ii)</w:t>
      </w:r>
      <w:r w:rsidRPr="00D035EF">
        <w:rPr>
          <w:rFonts w:eastAsia="Tahoma"/>
          <w:lang w:val="pl-PL"/>
        </w:rPr>
        <w:tab/>
      </w:r>
      <w:r w:rsidRPr="00D035EF">
        <w:rPr>
          <w:rFonts w:eastAsia="Tahoma"/>
          <w:b/>
          <w:bCs/>
          <w:lang w:val="pl-PL"/>
        </w:rPr>
        <w:t>Ograniczenie odpowiedzialności.</w:t>
      </w:r>
      <w:r w:rsidRPr="00D035EF">
        <w:rPr>
          <w:rFonts w:eastAsia="Tahoma"/>
          <w:lang w:val="pl-PL"/>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rsidR="00141F26" w:rsidRPr="00E31E37" w:rsidRDefault="001A0275" w:rsidP="00B3573B">
      <w:pPr>
        <w:pStyle w:val="Heading1"/>
        <w:numPr>
          <w:ilvl w:val="0"/>
          <w:numId w:val="0"/>
        </w:numPr>
        <w:ind w:left="357"/>
        <w:rPr>
          <w:b w:val="0"/>
          <w:bCs w:val="0"/>
          <w:lang w:val="pl-PL"/>
        </w:rPr>
      </w:pPr>
      <w:r w:rsidRPr="00E31E37">
        <w:rPr>
          <w:rFonts w:eastAsia="Tahoma"/>
          <w:b w:val="0"/>
          <w:bCs w:val="0"/>
          <w:lang w:val="pl-PL"/>
        </w:rP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W innych przypadkach niewielkiego zaniedbania Microsoft nie ponosi za nie odpowiedzialności.</w:t>
      </w:r>
    </w:p>
    <w:p w:rsidR="00561C14" w:rsidRPr="00D035EF" w:rsidRDefault="001A0275" w:rsidP="007036FC">
      <w:pPr>
        <w:pStyle w:val="Heading1"/>
        <w:rPr>
          <w:lang w:val="pl-PL"/>
        </w:rPr>
      </w:pPr>
      <w:r w:rsidRPr="00D035EF">
        <w:rPr>
          <w:rFonts w:eastAsia="Tahoma"/>
          <w:lang w:val="pl-PL"/>
        </w:rPr>
        <w:t>ODRZUCENIE ODPOWIEDZIALNOŚCI Z TYTUŁU RĘKOJMI I GWARANCJI. LICENCJI UDZIELA SIĘ NA OPROGRAMOWANIE W STANIE „TAKIM, W JAKIM ONO JEST”. LICENCJOBIORCA PONOSI RYZYKO ZWIĄZANE Z UŻYWANIEM OPROGRAMOWANIA. MICROSOFT NIE UDZIELA ŻADNYCH WYRAŹNYCH RĘKOJMI, GWARANCJI ANI ZAPEWNIEŃ DOTYCZĄCYCH OPROGRAMOWANIA. W ZAKRESIE DOZWOLONYM PRZEZ PRAWO MIEJSCOWE LICENCJOBIORCY MICROSOFT NINIEJSZYM WYŁĄCZA SWOJĄ ODPOWIEDZIALNOŚĆ Z TYTUŁU DOROZUMIANEJ GWARANCJI Z TYTUŁU WARTOŚCI HANDLOWEJ, PRZYDATNOŚCI DO OKREŚLONEGO CELU ORAZ BRAKU NARUSZEŃ PRAW OSÓB TRZECICH.</w:t>
      </w:r>
    </w:p>
    <w:p w:rsidR="00561C14" w:rsidRPr="00D035EF" w:rsidRDefault="001A0275" w:rsidP="007036FC">
      <w:pPr>
        <w:pStyle w:val="Heading1"/>
        <w:rPr>
          <w:lang w:val="pl-PL"/>
        </w:rPr>
      </w:pPr>
      <w:r w:rsidRPr="00D035EF">
        <w:rPr>
          <w:rFonts w:eastAsia="Tahoma"/>
          <w:lang w:val="pl-PL"/>
        </w:rPr>
        <w:t xml:space="preserve">OGRANICZENIE ODPOWIEDZIALNOŚCI ODSZKODOWAWCZEJ. MICROSOFT I DOSTAWCY MICROSOFT PONOSZĄ ODPOWIEDZIALNOŚĆ WYŁĄCZNIE ZA SZKODY BEZPOŚREDNIE DO </w:t>
      </w:r>
      <w:r w:rsidRPr="00D035EF">
        <w:rPr>
          <w:rFonts w:eastAsia="Tahoma"/>
          <w:lang w:val="pl-PL"/>
        </w:rPr>
        <w:lastRenderedPageBreak/>
        <w:t>KWOTY 5,00 USD. LICENCJOBIORCA NIE MOŻE DOCHODZIĆ ROSZCZEŃ Z TYTUŁU ŻADNYCH INNYCH SZKÓD I ODSZKODOWAŃ, W TYM ODSZKODOWAŃ NASTĘPCZYCH, SPECJALNYCH ORAZ SZKÓD WYNIKAJĄCYCH Z UTRATY ZYSKÓW, SZCZEGÓLNYCH, POŚREDNICH ANI UBOCZNYCH.</w:t>
      </w:r>
    </w:p>
    <w:p w:rsidR="00561C14" w:rsidRPr="00D035EF" w:rsidRDefault="001A0275" w:rsidP="00780F6B">
      <w:pPr>
        <w:pStyle w:val="Body1"/>
        <w:ind w:firstLine="3"/>
        <w:rPr>
          <w:lang w:val="pl-PL"/>
        </w:rPr>
      </w:pPr>
      <w:r w:rsidRPr="00D035EF">
        <w:rPr>
          <w:rFonts w:eastAsia="Tahoma"/>
          <w:lang w:val="pl-PL"/>
        </w:rPr>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rsidR="00561C14" w:rsidRPr="00D035EF" w:rsidRDefault="001A0275" w:rsidP="00780F6B">
      <w:pPr>
        <w:ind w:left="450" w:firstLine="0"/>
        <w:rPr>
          <w:lang w:val="pl-PL"/>
        </w:rPr>
      </w:pPr>
      <w:r w:rsidRPr="00D035EF">
        <w:rPr>
          <w:rFonts w:eastAsia="Tahoma"/>
          <w:lang w:val="pl-PL"/>
        </w:rP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rsidR="00396E3C" w:rsidRPr="00D66735" w:rsidRDefault="001A0275" w:rsidP="007036FC">
      <w:pPr>
        <w:rPr>
          <w:color w:val="1F497D" w:themeColor="text2"/>
          <w:lang w:val="pl-PL"/>
        </w:rPr>
      </w:pPr>
      <w:r w:rsidRPr="00D035EF">
        <w:rPr>
          <w:lang w:val="pl-PL"/>
        </w:rPr>
        <w:br/>
        <w:t xml:space="preserve">EULAID: </w:t>
      </w:r>
      <w:r w:rsidR="009476D1" w:rsidRPr="00D035EF">
        <w:rPr>
          <w:lang w:val="pl-PL"/>
        </w:rPr>
        <w:t xml:space="preserve"> </w:t>
      </w:r>
      <w:r w:rsidR="00D035EF" w:rsidRPr="00D66735">
        <w:rPr>
          <w:color w:val="1F497D" w:themeColor="text2"/>
          <w:lang w:val="pl-PL"/>
        </w:rPr>
        <w:t>VS_2019_PREVIEW_PLK.1045</w:t>
      </w:r>
      <w:bookmarkStart w:id="2" w:name="_GoBack"/>
      <w:bookmarkEnd w:id="2"/>
    </w:p>
    <w:sectPr w:rsidR="00396E3C" w:rsidRPr="00D66735" w:rsidSect="00AD7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EF" w:rsidRDefault="00D035EF" w:rsidP="00D035EF">
      <w:pPr>
        <w:spacing w:after="0"/>
      </w:pPr>
      <w:r>
        <w:separator/>
      </w:r>
    </w:p>
  </w:endnote>
  <w:endnote w:type="continuationSeparator" w:id="0">
    <w:p w:rsidR="00D035EF" w:rsidRDefault="00D035EF" w:rsidP="00D03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EF" w:rsidRDefault="00D035EF" w:rsidP="00D035EF">
      <w:pPr>
        <w:spacing w:after="0"/>
      </w:pPr>
      <w:r>
        <w:separator/>
      </w:r>
    </w:p>
  </w:footnote>
  <w:footnote w:type="continuationSeparator" w:id="0">
    <w:p w:rsidR="00D035EF" w:rsidRDefault="00D035EF" w:rsidP="00D035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5958FF5E">
      <w:start w:val="1"/>
      <w:numFmt w:val="bullet"/>
      <w:lvlText w:val=""/>
      <w:lvlJc w:val="left"/>
      <w:pPr>
        <w:ind w:left="1800" w:hanging="360"/>
      </w:pPr>
      <w:rPr>
        <w:rFonts w:ascii="Symbol" w:hAnsi="Symbol" w:hint="default"/>
      </w:rPr>
    </w:lvl>
    <w:lvl w:ilvl="1" w:tplc="78943536">
      <w:start w:val="1"/>
      <w:numFmt w:val="bullet"/>
      <w:lvlText w:val="o"/>
      <w:lvlJc w:val="left"/>
      <w:pPr>
        <w:ind w:left="2520" w:hanging="360"/>
      </w:pPr>
      <w:rPr>
        <w:rFonts w:ascii="Courier New" w:hAnsi="Courier New" w:cs="Courier New" w:hint="default"/>
      </w:rPr>
    </w:lvl>
    <w:lvl w:ilvl="2" w:tplc="CA5CAB98" w:tentative="1">
      <w:start w:val="1"/>
      <w:numFmt w:val="bullet"/>
      <w:lvlText w:val=""/>
      <w:lvlJc w:val="left"/>
      <w:pPr>
        <w:ind w:left="3240" w:hanging="360"/>
      </w:pPr>
      <w:rPr>
        <w:rFonts w:ascii="Wingdings" w:hAnsi="Wingdings" w:hint="default"/>
      </w:rPr>
    </w:lvl>
    <w:lvl w:ilvl="3" w:tplc="5B7AEFA6" w:tentative="1">
      <w:start w:val="1"/>
      <w:numFmt w:val="bullet"/>
      <w:lvlText w:val=""/>
      <w:lvlJc w:val="left"/>
      <w:pPr>
        <w:ind w:left="3960" w:hanging="360"/>
      </w:pPr>
      <w:rPr>
        <w:rFonts w:ascii="Symbol" w:hAnsi="Symbol" w:hint="default"/>
      </w:rPr>
    </w:lvl>
    <w:lvl w:ilvl="4" w:tplc="4F98CD14" w:tentative="1">
      <w:start w:val="1"/>
      <w:numFmt w:val="bullet"/>
      <w:lvlText w:val="o"/>
      <w:lvlJc w:val="left"/>
      <w:pPr>
        <w:ind w:left="4680" w:hanging="360"/>
      </w:pPr>
      <w:rPr>
        <w:rFonts w:ascii="Courier New" w:hAnsi="Courier New" w:cs="Courier New" w:hint="default"/>
      </w:rPr>
    </w:lvl>
    <w:lvl w:ilvl="5" w:tplc="2704480A" w:tentative="1">
      <w:start w:val="1"/>
      <w:numFmt w:val="bullet"/>
      <w:lvlText w:val=""/>
      <w:lvlJc w:val="left"/>
      <w:pPr>
        <w:ind w:left="5400" w:hanging="360"/>
      </w:pPr>
      <w:rPr>
        <w:rFonts w:ascii="Wingdings" w:hAnsi="Wingdings" w:hint="default"/>
      </w:rPr>
    </w:lvl>
    <w:lvl w:ilvl="6" w:tplc="00309AA6" w:tentative="1">
      <w:start w:val="1"/>
      <w:numFmt w:val="bullet"/>
      <w:lvlText w:val=""/>
      <w:lvlJc w:val="left"/>
      <w:pPr>
        <w:ind w:left="6120" w:hanging="360"/>
      </w:pPr>
      <w:rPr>
        <w:rFonts w:ascii="Symbol" w:hAnsi="Symbol" w:hint="default"/>
      </w:rPr>
    </w:lvl>
    <w:lvl w:ilvl="7" w:tplc="3E025160" w:tentative="1">
      <w:start w:val="1"/>
      <w:numFmt w:val="bullet"/>
      <w:lvlText w:val="o"/>
      <w:lvlJc w:val="left"/>
      <w:pPr>
        <w:ind w:left="6840" w:hanging="360"/>
      </w:pPr>
      <w:rPr>
        <w:rFonts w:ascii="Courier New" w:hAnsi="Courier New" w:cs="Courier New" w:hint="default"/>
      </w:rPr>
    </w:lvl>
    <w:lvl w:ilvl="8" w:tplc="3468FABC"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730AE25E">
      <w:start w:val="1"/>
      <w:numFmt w:val="bullet"/>
      <w:lvlText w:val=""/>
      <w:lvlJc w:val="left"/>
      <w:pPr>
        <w:ind w:left="720" w:hanging="360"/>
      </w:pPr>
      <w:rPr>
        <w:rFonts w:ascii="Symbol" w:hAnsi="Symbol" w:hint="default"/>
      </w:rPr>
    </w:lvl>
    <w:lvl w:ilvl="1" w:tplc="E8A4816A" w:tentative="1">
      <w:start w:val="1"/>
      <w:numFmt w:val="bullet"/>
      <w:lvlText w:val="o"/>
      <w:lvlJc w:val="left"/>
      <w:pPr>
        <w:ind w:left="1440" w:hanging="360"/>
      </w:pPr>
      <w:rPr>
        <w:rFonts w:ascii="Courier New" w:hAnsi="Courier New" w:cs="Courier New" w:hint="default"/>
      </w:rPr>
    </w:lvl>
    <w:lvl w:ilvl="2" w:tplc="4AF4CFBA" w:tentative="1">
      <w:start w:val="1"/>
      <w:numFmt w:val="bullet"/>
      <w:lvlText w:val=""/>
      <w:lvlJc w:val="left"/>
      <w:pPr>
        <w:ind w:left="2160" w:hanging="360"/>
      </w:pPr>
      <w:rPr>
        <w:rFonts w:ascii="Wingdings" w:hAnsi="Wingdings" w:hint="default"/>
      </w:rPr>
    </w:lvl>
    <w:lvl w:ilvl="3" w:tplc="B8E6F876" w:tentative="1">
      <w:start w:val="1"/>
      <w:numFmt w:val="bullet"/>
      <w:lvlText w:val=""/>
      <w:lvlJc w:val="left"/>
      <w:pPr>
        <w:ind w:left="2880" w:hanging="360"/>
      </w:pPr>
      <w:rPr>
        <w:rFonts w:ascii="Symbol" w:hAnsi="Symbol" w:hint="default"/>
      </w:rPr>
    </w:lvl>
    <w:lvl w:ilvl="4" w:tplc="651C4AAC" w:tentative="1">
      <w:start w:val="1"/>
      <w:numFmt w:val="bullet"/>
      <w:lvlText w:val="o"/>
      <w:lvlJc w:val="left"/>
      <w:pPr>
        <w:ind w:left="3600" w:hanging="360"/>
      </w:pPr>
      <w:rPr>
        <w:rFonts w:ascii="Courier New" w:hAnsi="Courier New" w:cs="Courier New" w:hint="default"/>
      </w:rPr>
    </w:lvl>
    <w:lvl w:ilvl="5" w:tplc="2A185962" w:tentative="1">
      <w:start w:val="1"/>
      <w:numFmt w:val="bullet"/>
      <w:lvlText w:val=""/>
      <w:lvlJc w:val="left"/>
      <w:pPr>
        <w:ind w:left="4320" w:hanging="360"/>
      </w:pPr>
      <w:rPr>
        <w:rFonts w:ascii="Wingdings" w:hAnsi="Wingdings" w:hint="default"/>
      </w:rPr>
    </w:lvl>
    <w:lvl w:ilvl="6" w:tplc="566032B6" w:tentative="1">
      <w:start w:val="1"/>
      <w:numFmt w:val="bullet"/>
      <w:lvlText w:val=""/>
      <w:lvlJc w:val="left"/>
      <w:pPr>
        <w:ind w:left="5040" w:hanging="360"/>
      </w:pPr>
      <w:rPr>
        <w:rFonts w:ascii="Symbol" w:hAnsi="Symbol" w:hint="default"/>
      </w:rPr>
    </w:lvl>
    <w:lvl w:ilvl="7" w:tplc="EF006FCA" w:tentative="1">
      <w:start w:val="1"/>
      <w:numFmt w:val="bullet"/>
      <w:lvlText w:val="o"/>
      <w:lvlJc w:val="left"/>
      <w:pPr>
        <w:ind w:left="5760" w:hanging="360"/>
      </w:pPr>
      <w:rPr>
        <w:rFonts w:ascii="Courier New" w:hAnsi="Courier New" w:cs="Courier New" w:hint="default"/>
      </w:rPr>
    </w:lvl>
    <w:lvl w:ilvl="8" w:tplc="F9168A90"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5EDCABCE">
      <w:start w:val="1"/>
      <w:numFmt w:val="lowerLetter"/>
      <w:lvlText w:val="%1."/>
      <w:lvlJc w:val="left"/>
      <w:pPr>
        <w:ind w:left="1080" w:hanging="360"/>
      </w:pPr>
      <w:rPr>
        <w:rFonts w:cs="Times New Roman" w:hint="default"/>
        <w:b/>
      </w:rPr>
    </w:lvl>
    <w:lvl w:ilvl="1" w:tplc="92BE31B4" w:tentative="1">
      <w:start w:val="1"/>
      <w:numFmt w:val="lowerLetter"/>
      <w:lvlText w:val="%2."/>
      <w:lvlJc w:val="left"/>
      <w:pPr>
        <w:ind w:left="1440" w:hanging="360"/>
      </w:pPr>
    </w:lvl>
    <w:lvl w:ilvl="2" w:tplc="1ECCF76C" w:tentative="1">
      <w:start w:val="1"/>
      <w:numFmt w:val="lowerRoman"/>
      <w:lvlText w:val="%3."/>
      <w:lvlJc w:val="right"/>
      <w:pPr>
        <w:ind w:left="2160" w:hanging="180"/>
      </w:pPr>
    </w:lvl>
    <w:lvl w:ilvl="3" w:tplc="897835A8" w:tentative="1">
      <w:start w:val="1"/>
      <w:numFmt w:val="decimal"/>
      <w:lvlText w:val="%4."/>
      <w:lvlJc w:val="left"/>
      <w:pPr>
        <w:ind w:left="2880" w:hanging="360"/>
      </w:pPr>
    </w:lvl>
    <w:lvl w:ilvl="4" w:tplc="C8C8493A" w:tentative="1">
      <w:start w:val="1"/>
      <w:numFmt w:val="lowerLetter"/>
      <w:lvlText w:val="%5."/>
      <w:lvlJc w:val="left"/>
      <w:pPr>
        <w:ind w:left="3600" w:hanging="360"/>
      </w:pPr>
    </w:lvl>
    <w:lvl w:ilvl="5" w:tplc="93F8FBAE" w:tentative="1">
      <w:start w:val="1"/>
      <w:numFmt w:val="lowerRoman"/>
      <w:lvlText w:val="%6."/>
      <w:lvlJc w:val="right"/>
      <w:pPr>
        <w:ind w:left="4320" w:hanging="180"/>
      </w:pPr>
    </w:lvl>
    <w:lvl w:ilvl="6" w:tplc="CBB214E2" w:tentative="1">
      <w:start w:val="1"/>
      <w:numFmt w:val="decimal"/>
      <w:lvlText w:val="%7."/>
      <w:lvlJc w:val="left"/>
      <w:pPr>
        <w:ind w:left="5040" w:hanging="360"/>
      </w:pPr>
    </w:lvl>
    <w:lvl w:ilvl="7" w:tplc="5FF0CECE" w:tentative="1">
      <w:start w:val="1"/>
      <w:numFmt w:val="lowerLetter"/>
      <w:lvlText w:val="%8."/>
      <w:lvlJc w:val="left"/>
      <w:pPr>
        <w:ind w:left="5760" w:hanging="360"/>
      </w:pPr>
    </w:lvl>
    <w:lvl w:ilvl="8" w:tplc="4FE45574"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D728AC6C">
      <w:start w:val="1"/>
      <w:numFmt w:val="bullet"/>
      <w:pStyle w:val="Bullet2"/>
      <w:lvlText w:val=""/>
      <w:lvlJc w:val="left"/>
      <w:pPr>
        <w:tabs>
          <w:tab w:val="num" w:pos="720"/>
        </w:tabs>
        <w:ind w:left="720" w:hanging="363"/>
      </w:pPr>
      <w:rPr>
        <w:rFonts w:ascii="Symbol" w:hAnsi="Symbol" w:hint="default"/>
      </w:rPr>
    </w:lvl>
    <w:lvl w:ilvl="1" w:tplc="17300FAA">
      <w:start w:val="1"/>
      <w:numFmt w:val="bullet"/>
      <w:lvlText w:val="o"/>
      <w:lvlJc w:val="left"/>
      <w:pPr>
        <w:tabs>
          <w:tab w:val="num" w:pos="1440"/>
        </w:tabs>
        <w:ind w:left="1440" w:hanging="360"/>
      </w:pPr>
      <w:rPr>
        <w:rFonts w:ascii="Courier New" w:hAnsi="Courier New" w:hint="default"/>
      </w:rPr>
    </w:lvl>
    <w:lvl w:ilvl="2" w:tplc="3D1CADC6">
      <w:start w:val="1"/>
      <w:numFmt w:val="bullet"/>
      <w:lvlText w:val=""/>
      <w:lvlJc w:val="left"/>
      <w:pPr>
        <w:tabs>
          <w:tab w:val="num" w:pos="2160"/>
        </w:tabs>
        <w:ind w:left="2160" w:hanging="360"/>
      </w:pPr>
      <w:rPr>
        <w:rFonts w:ascii="Wingdings" w:hAnsi="Wingdings" w:hint="default"/>
      </w:rPr>
    </w:lvl>
    <w:lvl w:ilvl="3" w:tplc="1186937E">
      <w:start w:val="1"/>
      <w:numFmt w:val="bullet"/>
      <w:lvlText w:val=""/>
      <w:lvlJc w:val="left"/>
      <w:pPr>
        <w:tabs>
          <w:tab w:val="num" w:pos="2880"/>
        </w:tabs>
        <w:ind w:left="2880" w:hanging="360"/>
      </w:pPr>
      <w:rPr>
        <w:rFonts w:ascii="Symbol" w:hAnsi="Symbol" w:hint="default"/>
      </w:rPr>
    </w:lvl>
    <w:lvl w:ilvl="4" w:tplc="B80C2E90">
      <w:start w:val="1"/>
      <w:numFmt w:val="bullet"/>
      <w:lvlText w:val="o"/>
      <w:lvlJc w:val="left"/>
      <w:pPr>
        <w:tabs>
          <w:tab w:val="num" w:pos="3600"/>
        </w:tabs>
        <w:ind w:left="3600" w:hanging="360"/>
      </w:pPr>
      <w:rPr>
        <w:rFonts w:ascii="Courier New" w:hAnsi="Courier New" w:hint="default"/>
      </w:rPr>
    </w:lvl>
    <w:lvl w:ilvl="5" w:tplc="C478CE96">
      <w:start w:val="1"/>
      <w:numFmt w:val="bullet"/>
      <w:lvlText w:val=""/>
      <w:lvlJc w:val="left"/>
      <w:pPr>
        <w:tabs>
          <w:tab w:val="num" w:pos="4320"/>
        </w:tabs>
        <w:ind w:left="4320" w:hanging="360"/>
      </w:pPr>
      <w:rPr>
        <w:rFonts w:ascii="Wingdings" w:hAnsi="Wingdings" w:hint="default"/>
      </w:rPr>
    </w:lvl>
    <w:lvl w:ilvl="6" w:tplc="C86A23E2">
      <w:start w:val="1"/>
      <w:numFmt w:val="bullet"/>
      <w:lvlText w:val=""/>
      <w:lvlJc w:val="left"/>
      <w:pPr>
        <w:tabs>
          <w:tab w:val="num" w:pos="5040"/>
        </w:tabs>
        <w:ind w:left="5040" w:hanging="360"/>
      </w:pPr>
      <w:rPr>
        <w:rFonts w:ascii="Symbol" w:hAnsi="Symbol" w:hint="default"/>
      </w:rPr>
    </w:lvl>
    <w:lvl w:ilvl="7" w:tplc="E7822C72">
      <w:start w:val="1"/>
      <w:numFmt w:val="bullet"/>
      <w:lvlText w:val="o"/>
      <w:lvlJc w:val="left"/>
      <w:pPr>
        <w:tabs>
          <w:tab w:val="num" w:pos="5760"/>
        </w:tabs>
        <w:ind w:left="5760" w:hanging="360"/>
      </w:pPr>
      <w:rPr>
        <w:rFonts w:ascii="Courier New" w:hAnsi="Courier New" w:hint="default"/>
      </w:rPr>
    </w:lvl>
    <w:lvl w:ilvl="8" w:tplc="6196115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A9D602DE">
      <w:start w:val="1"/>
      <w:numFmt w:val="lowerLetter"/>
      <w:lvlText w:val="%1."/>
      <w:lvlJc w:val="left"/>
      <w:pPr>
        <w:ind w:left="1080" w:hanging="360"/>
      </w:pPr>
      <w:rPr>
        <w:rFonts w:cs="Times New Roman" w:hint="default"/>
        <w:b/>
      </w:rPr>
    </w:lvl>
    <w:lvl w:ilvl="1" w:tplc="58B82196" w:tentative="1">
      <w:start w:val="1"/>
      <w:numFmt w:val="lowerLetter"/>
      <w:lvlText w:val="%2."/>
      <w:lvlJc w:val="left"/>
      <w:pPr>
        <w:ind w:left="1440" w:hanging="360"/>
      </w:pPr>
    </w:lvl>
    <w:lvl w:ilvl="2" w:tplc="ED5EE4AC" w:tentative="1">
      <w:start w:val="1"/>
      <w:numFmt w:val="lowerRoman"/>
      <w:lvlText w:val="%3."/>
      <w:lvlJc w:val="right"/>
      <w:pPr>
        <w:ind w:left="2160" w:hanging="180"/>
      </w:pPr>
    </w:lvl>
    <w:lvl w:ilvl="3" w:tplc="3AC4F820" w:tentative="1">
      <w:start w:val="1"/>
      <w:numFmt w:val="decimal"/>
      <w:lvlText w:val="%4."/>
      <w:lvlJc w:val="left"/>
      <w:pPr>
        <w:ind w:left="2880" w:hanging="360"/>
      </w:pPr>
    </w:lvl>
    <w:lvl w:ilvl="4" w:tplc="7CE4B69C" w:tentative="1">
      <w:start w:val="1"/>
      <w:numFmt w:val="lowerLetter"/>
      <w:lvlText w:val="%5."/>
      <w:lvlJc w:val="left"/>
      <w:pPr>
        <w:ind w:left="3600" w:hanging="360"/>
      </w:pPr>
    </w:lvl>
    <w:lvl w:ilvl="5" w:tplc="2990DF42" w:tentative="1">
      <w:start w:val="1"/>
      <w:numFmt w:val="lowerRoman"/>
      <w:lvlText w:val="%6."/>
      <w:lvlJc w:val="right"/>
      <w:pPr>
        <w:ind w:left="4320" w:hanging="180"/>
      </w:pPr>
    </w:lvl>
    <w:lvl w:ilvl="6" w:tplc="A3E87166" w:tentative="1">
      <w:start w:val="1"/>
      <w:numFmt w:val="decimal"/>
      <w:lvlText w:val="%7."/>
      <w:lvlJc w:val="left"/>
      <w:pPr>
        <w:ind w:left="5040" w:hanging="360"/>
      </w:pPr>
    </w:lvl>
    <w:lvl w:ilvl="7" w:tplc="CB1A4546" w:tentative="1">
      <w:start w:val="1"/>
      <w:numFmt w:val="lowerLetter"/>
      <w:lvlText w:val="%8."/>
      <w:lvlJc w:val="left"/>
      <w:pPr>
        <w:ind w:left="5760" w:hanging="360"/>
      </w:pPr>
    </w:lvl>
    <w:lvl w:ilvl="8" w:tplc="EA520398"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784C9944">
      <w:start w:val="1"/>
      <w:numFmt w:val="decimal"/>
      <w:lvlText w:val="%1."/>
      <w:lvlJc w:val="left"/>
      <w:pPr>
        <w:ind w:left="810" w:hanging="360"/>
      </w:pPr>
    </w:lvl>
    <w:lvl w:ilvl="1" w:tplc="46C8F1C6" w:tentative="1">
      <w:start w:val="1"/>
      <w:numFmt w:val="lowerLetter"/>
      <w:lvlText w:val="%2."/>
      <w:lvlJc w:val="left"/>
      <w:pPr>
        <w:ind w:left="1530" w:hanging="360"/>
      </w:pPr>
    </w:lvl>
    <w:lvl w:ilvl="2" w:tplc="CAF489B4" w:tentative="1">
      <w:start w:val="1"/>
      <w:numFmt w:val="lowerRoman"/>
      <w:lvlText w:val="%3."/>
      <w:lvlJc w:val="right"/>
      <w:pPr>
        <w:ind w:left="2250" w:hanging="180"/>
      </w:pPr>
    </w:lvl>
    <w:lvl w:ilvl="3" w:tplc="40EC2596" w:tentative="1">
      <w:start w:val="1"/>
      <w:numFmt w:val="decimal"/>
      <w:lvlText w:val="%4."/>
      <w:lvlJc w:val="left"/>
      <w:pPr>
        <w:ind w:left="2970" w:hanging="360"/>
      </w:pPr>
    </w:lvl>
    <w:lvl w:ilvl="4" w:tplc="46EC5E84" w:tentative="1">
      <w:start w:val="1"/>
      <w:numFmt w:val="lowerLetter"/>
      <w:lvlText w:val="%5."/>
      <w:lvlJc w:val="left"/>
      <w:pPr>
        <w:ind w:left="3690" w:hanging="360"/>
      </w:pPr>
    </w:lvl>
    <w:lvl w:ilvl="5" w:tplc="51E088D4" w:tentative="1">
      <w:start w:val="1"/>
      <w:numFmt w:val="lowerRoman"/>
      <w:lvlText w:val="%6."/>
      <w:lvlJc w:val="right"/>
      <w:pPr>
        <w:ind w:left="4410" w:hanging="180"/>
      </w:pPr>
    </w:lvl>
    <w:lvl w:ilvl="6" w:tplc="CCCE9D66" w:tentative="1">
      <w:start w:val="1"/>
      <w:numFmt w:val="decimal"/>
      <w:lvlText w:val="%7."/>
      <w:lvlJc w:val="left"/>
      <w:pPr>
        <w:ind w:left="5130" w:hanging="360"/>
      </w:pPr>
    </w:lvl>
    <w:lvl w:ilvl="7" w:tplc="EA98917E" w:tentative="1">
      <w:start w:val="1"/>
      <w:numFmt w:val="lowerLetter"/>
      <w:lvlText w:val="%8."/>
      <w:lvlJc w:val="left"/>
      <w:pPr>
        <w:ind w:left="5850" w:hanging="360"/>
      </w:pPr>
    </w:lvl>
    <w:lvl w:ilvl="8" w:tplc="0A944CA8"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7C08BDA8">
      <w:start w:val="1"/>
      <w:numFmt w:val="lowerLetter"/>
      <w:lvlText w:val="%1."/>
      <w:lvlJc w:val="left"/>
      <w:pPr>
        <w:ind w:left="1080" w:hanging="360"/>
      </w:pPr>
      <w:rPr>
        <w:rFonts w:cs="Times New Roman"/>
        <w:b/>
      </w:rPr>
    </w:lvl>
    <w:lvl w:ilvl="1" w:tplc="8F624C24">
      <w:start w:val="1"/>
      <w:numFmt w:val="lowerLetter"/>
      <w:lvlText w:val="%2."/>
      <w:lvlJc w:val="left"/>
      <w:pPr>
        <w:ind w:left="1440" w:hanging="360"/>
      </w:pPr>
    </w:lvl>
    <w:lvl w:ilvl="2" w:tplc="9A808C0E">
      <w:start w:val="1"/>
      <w:numFmt w:val="lowerRoman"/>
      <w:lvlText w:val="%3."/>
      <w:lvlJc w:val="right"/>
      <w:pPr>
        <w:ind w:left="2160" w:hanging="180"/>
      </w:pPr>
    </w:lvl>
    <w:lvl w:ilvl="3" w:tplc="57D4CDA0">
      <w:start w:val="1"/>
      <w:numFmt w:val="decimal"/>
      <w:lvlText w:val="%4."/>
      <w:lvlJc w:val="left"/>
      <w:pPr>
        <w:ind w:left="2880" w:hanging="360"/>
      </w:pPr>
    </w:lvl>
    <w:lvl w:ilvl="4" w:tplc="1E5C2B0A">
      <w:start w:val="1"/>
      <w:numFmt w:val="lowerLetter"/>
      <w:lvlText w:val="%5."/>
      <w:lvlJc w:val="left"/>
      <w:pPr>
        <w:ind w:left="3600" w:hanging="360"/>
      </w:pPr>
    </w:lvl>
    <w:lvl w:ilvl="5" w:tplc="775A2B62">
      <w:start w:val="1"/>
      <w:numFmt w:val="lowerRoman"/>
      <w:lvlText w:val="%6."/>
      <w:lvlJc w:val="right"/>
      <w:pPr>
        <w:ind w:left="4320" w:hanging="180"/>
      </w:pPr>
    </w:lvl>
    <w:lvl w:ilvl="6" w:tplc="9EF45CC8">
      <w:start w:val="1"/>
      <w:numFmt w:val="decimal"/>
      <w:lvlText w:val="%7."/>
      <w:lvlJc w:val="left"/>
      <w:pPr>
        <w:ind w:left="5040" w:hanging="360"/>
      </w:pPr>
    </w:lvl>
    <w:lvl w:ilvl="7" w:tplc="E2B4A766">
      <w:start w:val="1"/>
      <w:numFmt w:val="lowerLetter"/>
      <w:lvlText w:val="%8."/>
      <w:lvlJc w:val="left"/>
      <w:pPr>
        <w:ind w:left="5760" w:hanging="360"/>
      </w:pPr>
    </w:lvl>
    <w:lvl w:ilvl="8" w:tplc="8E9C7AA2">
      <w:start w:val="1"/>
      <w:numFmt w:val="lowerRoman"/>
      <w:lvlText w:val="%9."/>
      <w:lvlJc w:val="right"/>
      <w:pPr>
        <w:ind w:left="6480" w:hanging="180"/>
      </w:pPr>
    </w:lvl>
  </w:abstractNum>
  <w:abstractNum w:abstractNumId="9" w15:restartNumberingAfterBreak="0">
    <w:nsid w:val="26524094"/>
    <w:multiLevelType w:val="hybridMultilevel"/>
    <w:tmpl w:val="3990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D3A36"/>
    <w:multiLevelType w:val="hybridMultilevel"/>
    <w:tmpl w:val="C7DA85D2"/>
    <w:lvl w:ilvl="0" w:tplc="433005E4">
      <w:start w:val="1"/>
      <w:numFmt w:val="bullet"/>
      <w:lvlText w:val=""/>
      <w:lvlJc w:val="left"/>
      <w:pPr>
        <w:ind w:left="1440" w:hanging="360"/>
      </w:pPr>
      <w:rPr>
        <w:rFonts w:ascii="Symbol" w:hAnsi="Symbol" w:hint="default"/>
        <w:b w:val="0"/>
      </w:rPr>
    </w:lvl>
    <w:lvl w:ilvl="1" w:tplc="6E7036E0">
      <w:start w:val="1"/>
      <w:numFmt w:val="lowerLetter"/>
      <w:lvlText w:val="%2."/>
      <w:lvlJc w:val="left"/>
      <w:pPr>
        <w:ind w:left="1800" w:hanging="360"/>
      </w:pPr>
    </w:lvl>
    <w:lvl w:ilvl="2" w:tplc="8F16E41E">
      <w:start w:val="1"/>
      <w:numFmt w:val="lowerRoman"/>
      <w:lvlText w:val="%3."/>
      <w:lvlJc w:val="right"/>
      <w:pPr>
        <w:ind w:left="2520" w:hanging="180"/>
      </w:pPr>
    </w:lvl>
    <w:lvl w:ilvl="3" w:tplc="DC8ED24E">
      <w:start w:val="1"/>
      <w:numFmt w:val="decimal"/>
      <w:lvlText w:val="%4."/>
      <w:lvlJc w:val="left"/>
      <w:pPr>
        <w:ind w:left="3240" w:hanging="360"/>
      </w:pPr>
    </w:lvl>
    <w:lvl w:ilvl="4" w:tplc="85EE9BF0">
      <w:start w:val="1"/>
      <w:numFmt w:val="lowerLetter"/>
      <w:lvlText w:val="%5."/>
      <w:lvlJc w:val="left"/>
      <w:pPr>
        <w:ind w:left="3960" w:hanging="360"/>
      </w:pPr>
    </w:lvl>
    <w:lvl w:ilvl="5" w:tplc="AE64B1F6">
      <w:start w:val="1"/>
      <w:numFmt w:val="lowerRoman"/>
      <w:lvlText w:val="%6."/>
      <w:lvlJc w:val="right"/>
      <w:pPr>
        <w:ind w:left="4680" w:hanging="180"/>
      </w:pPr>
    </w:lvl>
    <w:lvl w:ilvl="6" w:tplc="A590242C">
      <w:start w:val="1"/>
      <w:numFmt w:val="decimal"/>
      <w:lvlText w:val="%7."/>
      <w:lvlJc w:val="left"/>
      <w:pPr>
        <w:ind w:left="5400" w:hanging="360"/>
      </w:pPr>
    </w:lvl>
    <w:lvl w:ilvl="7" w:tplc="32EAC188">
      <w:start w:val="1"/>
      <w:numFmt w:val="lowerLetter"/>
      <w:lvlText w:val="%8."/>
      <w:lvlJc w:val="left"/>
      <w:pPr>
        <w:ind w:left="6120" w:hanging="360"/>
      </w:pPr>
    </w:lvl>
    <w:lvl w:ilvl="8" w:tplc="FA0416CE">
      <w:start w:val="1"/>
      <w:numFmt w:val="lowerRoman"/>
      <w:lvlText w:val="%9."/>
      <w:lvlJc w:val="right"/>
      <w:pPr>
        <w:ind w:left="6840" w:hanging="180"/>
      </w:pPr>
    </w:lvl>
  </w:abstractNum>
  <w:abstractNum w:abstractNumId="11"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E9A2582"/>
    <w:multiLevelType w:val="hybridMultilevel"/>
    <w:tmpl w:val="2CFAE9B2"/>
    <w:lvl w:ilvl="0" w:tplc="9D28A916">
      <w:start w:val="1"/>
      <w:numFmt w:val="lowerLetter"/>
      <w:lvlText w:val="%1."/>
      <w:lvlJc w:val="left"/>
      <w:pPr>
        <w:ind w:left="1080" w:hanging="360"/>
      </w:pPr>
      <w:rPr>
        <w:rFonts w:cs="Times New Roman"/>
        <w:b w:val="0"/>
      </w:rPr>
    </w:lvl>
    <w:lvl w:ilvl="1" w:tplc="4246EE82">
      <w:start w:val="1"/>
      <w:numFmt w:val="bullet"/>
      <w:lvlText w:val=""/>
      <w:lvlJc w:val="left"/>
      <w:pPr>
        <w:ind w:left="1440" w:hanging="360"/>
      </w:pPr>
      <w:rPr>
        <w:rFonts w:ascii="Symbol" w:hAnsi="Symbol" w:hint="default"/>
      </w:rPr>
    </w:lvl>
    <w:lvl w:ilvl="2" w:tplc="B22A65C8">
      <w:start w:val="1"/>
      <w:numFmt w:val="lowerRoman"/>
      <w:lvlText w:val="%3."/>
      <w:lvlJc w:val="right"/>
      <w:pPr>
        <w:ind w:left="2160" w:hanging="180"/>
      </w:pPr>
    </w:lvl>
    <w:lvl w:ilvl="3" w:tplc="36EA17AE">
      <w:start w:val="1"/>
      <w:numFmt w:val="decimal"/>
      <w:lvlText w:val="%4."/>
      <w:lvlJc w:val="left"/>
      <w:pPr>
        <w:ind w:left="2880" w:hanging="360"/>
      </w:pPr>
    </w:lvl>
    <w:lvl w:ilvl="4" w:tplc="E9144976">
      <w:start w:val="1"/>
      <w:numFmt w:val="lowerLetter"/>
      <w:lvlText w:val="%5."/>
      <w:lvlJc w:val="left"/>
      <w:pPr>
        <w:ind w:left="3600" w:hanging="360"/>
      </w:pPr>
    </w:lvl>
    <w:lvl w:ilvl="5" w:tplc="CC00B254">
      <w:start w:val="1"/>
      <w:numFmt w:val="lowerRoman"/>
      <w:lvlText w:val="%6."/>
      <w:lvlJc w:val="right"/>
      <w:pPr>
        <w:ind w:left="4320" w:hanging="180"/>
      </w:pPr>
    </w:lvl>
    <w:lvl w:ilvl="6" w:tplc="F5E02B80">
      <w:start w:val="1"/>
      <w:numFmt w:val="decimal"/>
      <w:lvlText w:val="%7."/>
      <w:lvlJc w:val="left"/>
      <w:pPr>
        <w:ind w:left="5040" w:hanging="360"/>
      </w:pPr>
    </w:lvl>
    <w:lvl w:ilvl="7" w:tplc="221A8D68">
      <w:start w:val="1"/>
      <w:numFmt w:val="lowerLetter"/>
      <w:lvlText w:val="%8."/>
      <w:lvlJc w:val="left"/>
      <w:pPr>
        <w:ind w:left="5760" w:hanging="360"/>
      </w:pPr>
    </w:lvl>
    <w:lvl w:ilvl="8" w:tplc="67DE4B1E">
      <w:start w:val="1"/>
      <w:numFmt w:val="lowerRoman"/>
      <w:lvlText w:val="%9."/>
      <w:lvlJc w:val="right"/>
      <w:pPr>
        <w:ind w:left="6480" w:hanging="180"/>
      </w:pPr>
    </w:lvl>
  </w:abstractNum>
  <w:abstractNum w:abstractNumId="13" w15:restartNumberingAfterBreak="0">
    <w:nsid w:val="5CF4435A"/>
    <w:multiLevelType w:val="hybridMultilevel"/>
    <w:tmpl w:val="1212BE60"/>
    <w:lvl w:ilvl="0" w:tplc="43BE3780">
      <w:start w:val="1"/>
      <w:numFmt w:val="bullet"/>
      <w:pStyle w:val="Bullet4"/>
      <w:lvlText w:val=""/>
      <w:lvlJc w:val="left"/>
      <w:pPr>
        <w:tabs>
          <w:tab w:val="num" w:pos="1437"/>
        </w:tabs>
        <w:ind w:left="1435" w:hanging="358"/>
      </w:pPr>
      <w:rPr>
        <w:rFonts w:ascii="Symbol" w:hAnsi="Symbol" w:hint="default"/>
        <w:color w:val="000000" w:themeColor="text1"/>
      </w:rPr>
    </w:lvl>
    <w:lvl w:ilvl="1" w:tplc="97122942">
      <w:start w:val="1"/>
      <w:numFmt w:val="bullet"/>
      <w:lvlText w:val="o"/>
      <w:lvlJc w:val="left"/>
      <w:pPr>
        <w:tabs>
          <w:tab w:val="num" w:pos="1440"/>
        </w:tabs>
        <w:ind w:left="1440" w:hanging="360"/>
      </w:pPr>
      <w:rPr>
        <w:rFonts w:ascii="Courier New" w:hAnsi="Courier New" w:hint="default"/>
      </w:rPr>
    </w:lvl>
    <w:lvl w:ilvl="2" w:tplc="2FCE4DF6">
      <w:start w:val="1"/>
      <w:numFmt w:val="bullet"/>
      <w:lvlText w:val=""/>
      <w:lvlJc w:val="left"/>
      <w:pPr>
        <w:tabs>
          <w:tab w:val="num" w:pos="2160"/>
        </w:tabs>
        <w:ind w:left="2160" w:hanging="360"/>
      </w:pPr>
      <w:rPr>
        <w:rFonts w:ascii="Wingdings" w:hAnsi="Wingdings" w:hint="default"/>
      </w:rPr>
    </w:lvl>
    <w:lvl w:ilvl="3" w:tplc="274CDECC">
      <w:start w:val="1"/>
      <w:numFmt w:val="bullet"/>
      <w:lvlText w:val=""/>
      <w:lvlJc w:val="left"/>
      <w:pPr>
        <w:tabs>
          <w:tab w:val="num" w:pos="2880"/>
        </w:tabs>
        <w:ind w:left="2880" w:hanging="360"/>
      </w:pPr>
      <w:rPr>
        <w:rFonts w:ascii="Symbol" w:hAnsi="Symbol" w:hint="default"/>
      </w:rPr>
    </w:lvl>
    <w:lvl w:ilvl="4" w:tplc="D478B930">
      <w:start w:val="1"/>
      <w:numFmt w:val="bullet"/>
      <w:lvlText w:val="o"/>
      <w:lvlJc w:val="left"/>
      <w:pPr>
        <w:tabs>
          <w:tab w:val="num" w:pos="3600"/>
        </w:tabs>
        <w:ind w:left="3600" w:hanging="360"/>
      </w:pPr>
      <w:rPr>
        <w:rFonts w:ascii="Courier New" w:hAnsi="Courier New" w:hint="default"/>
      </w:rPr>
    </w:lvl>
    <w:lvl w:ilvl="5" w:tplc="FAB8FC24">
      <w:start w:val="1"/>
      <w:numFmt w:val="bullet"/>
      <w:lvlText w:val=""/>
      <w:lvlJc w:val="left"/>
      <w:pPr>
        <w:tabs>
          <w:tab w:val="num" w:pos="4320"/>
        </w:tabs>
        <w:ind w:left="4320" w:hanging="360"/>
      </w:pPr>
      <w:rPr>
        <w:rFonts w:ascii="Wingdings" w:hAnsi="Wingdings" w:hint="default"/>
      </w:rPr>
    </w:lvl>
    <w:lvl w:ilvl="6" w:tplc="8188D250">
      <w:start w:val="1"/>
      <w:numFmt w:val="bullet"/>
      <w:lvlText w:val=""/>
      <w:lvlJc w:val="left"/>
      <w:pPr>
        <w:tabs>
          <w:tab w:val="num" w:pos="5040"/>
        </w:tabs>
        <w:ind w:left="5040" w:hanging="360"/>
      </w:pPr>
      <w:rPr>
        <w:rFonts w:ascii="Symbol" w:hAnsi="Symbol" w:hint="default"/>
      </w:rPr>
    </w:lvl>
    <w:lvl w:ilvl="7" w:tplc="F936395C">
      <w:start w:val="1"/>
      <w:numFmt w:val="bullet"/>
      <w:lvlText w:val="o"/>
      <w:lvlJc w:val="left"/>
      <w:pPr>
        <w:tabs>
          <w:tab w:val="num" w:pos="5760"/>
        </w:tabs>
        <w:ind w:left="5760" w:hanging="360"/>
      </w:pPr>
      <w:rPr>
        <w:rFonts w:ascii="Courier New" w:hAnsi="Courier New" w:hint="default"/>
      </w:rPr>
    </w:lvl>
    <w:lvl w:ilvl="8" w:tplc="FE92CED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06D6A"/>
    <w:multiLevelType w:val="hybridMultilevel"/>
    <w:tmpl w:val="24FAF830"/>
    <w:lvl w:ilvl="0" w:tplc="1F1E356E">
      <w:start w:val="1"/>
      <w:numFmt w:val="bullet"/>
      <w:pStyle w:val="Bullet3"/>
      <w:lvlText w:val=""/>
      <w:lvlJc w:val="left"/>
      <w:pPr>
        <w:tabs>
          <w:tab w:val="num" w:pos="1080"/>
        </w:tabs>
        <w:ind w:left="1077" w:hanging="357"/>
      </w:pPr>
      <w:rPr>
        <w:rFonts w:ascii="Symbol" w:hAnsi="Symbol" w:hint="default"/>
      </w:rPr>
    </w:lvl>
    <w:lvl w:ilvl="1" w:tplc="1FE298AA">
      <w:start w:val="1"/>
      <w:numFmt w:val="bullet"/>
      <w:lvlText w:val="o"/>
      <w:lvlJc w:val="left"/>
      <w:pPr>
        <w:tabs>
          <w:tab w:val="num" w:pos="1440"/>
        </w:tabs>
        <w:ind w:left="1440" w:hanging="360"/>
      </w:pPr>
      <w:rPr>
        <w:rFonts w:ascii="Courier New" w:hAnsi="Courier New" w:hint="default"/>
      </w:rPr>
    </w:lvl>
    <w:lvl w:ilvl="2" w:tplc="596842EE">
      <w:start w:val="1"/>
      <w:numFmt w:val="bullet"/>
      <w:lvlText w:val=""/>
      <w:lvlJc w:val="left"/>
      <w:pPr>
        <w:tabs>
          <w:tab w:val="num" w:pos="2160"/>
        </w:tabs>
        <w:ind w:left="2160" w:hanging="360"/>
      </w:pPr>
      <w:rPr>
        <w:rFonts w:ascii="Wingdings" w:hAnsi="Wingdings" w:hint="default"/>
      </w:rPr>
    </w:lvl>
    <w:lvl w:ilvl="3" w:tplc="F5DEE426">
      <w:start w:val="1"/>
      <w:numFmt w:val="bullet"/>
      <w:lvlText w:val=""/>
      <w:lvlJc w:val="left"/>
      <w:pPr>
        <w:tabs>
          <w:tab w:val="num" w:pos="2880"/>
        </w:tabs>
        <w:ind w:left="2880" w:hanging="360"/>
      </w:pPr>
      <w:rPr>
        <w:rFonts w:ascii="Symbol" w:hAnsi="Symbol" w:hint="default"/>
      </w:rPr>
    </w:lvl>
    <w:lvl w:ilvl="4" w:tplc="44E465F4">
      <w:start w:val="1"/>
      <w:numFmt w:val="bullet"/>
      <w:lvlText w:val="o"/>
      <w:lvlJc w:val="left"/>
      <w:pPr>
        <w:tabs>
          <w:tab w:val="num" w:pos="3600"/>
        </w:tabs>
        <w:ind w:left="3600" w:hanging="360"/>
      </w:pPr>
      <w:rPr>
        <w:rFonts w:ascii="Courier New" w:hAnsi="Courier New" w:hint="default"/>
      </w:rPr>
    </w:lvl>
    <w:lvl w:ilvl="5" w:tplc="AC909CE2">
      <w:start w:val="1"/>
      <w:numFmt w:val="bullet"/>
      <w:lvlText w:val=""/>
      <w:lvlJc w:val="left"/>
      <w:pPr>
        <w:tabs>
          <w:tab w:val="num" w:pos="4320"/>
        </w:tabs>
        <w:ind w:left="4320" w:hanging="360"/>
      </w:pPr>
      <w:rPr>
        <w:rFonts w:ascii="Wingdings" w:hAnsi="Wingdings" w:hint="default"/>
      </w:rPr>
    </w:lvl>
    <w:lvl w:ilvl="6" w:tplc="00842C14">
      <w:start w:val="1"/>
      <w:numFmt w:val="bullet"/>
      <w:lvlText w:val=""/>
      <w:lvlJc w:val="left"/>
      <w:pPr>
        <w:tabs>
          <w:tab w:val="num" w:pos="5040"/>
        </w:tabs>
        <w:ind w:left="5040" w:hanging="360"/>
      </w:pPr>
      <w:rPr>
        <w:rFonts w:ascii="Symbol" w:hAnsi="Symbol" w:hint="default"/>
      </w:rPr>
    </w:lvl>
    <w:lvl w:ilvl="7" w:tplc="5C409DD2">
      <w:start w:val="1"/>
      <w:numFmt w:val="bullet"/>
      <w:lvlText w:val="o"/>
      <w:lvlJc w:val="left"/>
      <w:pPr>
        <w:tabs>
          <w:tab w:val="num" w:pos="5760"/>
        </w:tabs>
        <w:ind w:left="5760" w:hanging="360"/>
      </w:pPr>
      <w:rPr>
        <w:rFonts w:ascii="Courier New" w:hAnsi="Courier New" w:hint="default"/>
      </w:rPr>
    </w:lvl>
    <w:lvl w:ilvl="8" w:tplc="2DF47A0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C692F"/>
    <w:multiLevelType w:val="hybridMultilevel"/>
    <w:tmpl w:val="5144F806"/>
    <w:lvl w:ilvl="0" w:tplc="09BCAE9E">
      <w:start w:val="1"/>
      <w:numFmt w:val="bullet"/>
      <w:pStyle w:val="Bullet5"/>
      <w:lvlText w:val=""/>
      <w:lvlJc w:val="left"/>
      <w:pPr>
        <w:tabs>
          <w:tab w:val="num" w:pos="1795"/>
        </w:tabs>
        <w:ind w:left="1792" w:hanging="357"/>
      </w:pPr>
      <w:rPr>
        <w:rFonts w:ascii="Symbol" w:hAnsi="Symbol" w:hint="default"/>
      </w:rPr>
    </w:lvl>
    <w:lvl w:ilvl="1" w:tplc="62D049D4">
      <w:start w:val="1"/>
      <w:numFmt w:val="bullet"/>
      <w:lvlText w:val="o"/>
      <w:lvlJc w:val="left"/>
      <w:pPr>
        <w:tabs>
          <w:tab w:val="num" w:pos="1440"/>
        </w:tabs>
        <w:ind w:left="1440" w:hanging="360"/>
      </w:pPr>
      <w:rPr>
        <w:rFonts w:ascii="Courier New" w:hAnsi="Courier New" w:hint="default"/>
      </w:rPr>
    </w:lvl>
    <w:lvl w:ilvl="2" w:tplc="D59A2FE4">
      <w:start w:val="1"/>
      <w:numFmt w:val="bullet"/>
      <w:lvlText w:val=""/>
      <w:lvlJc w:val="left"/>
      <w:pPr>
        <w:tabs>
          <w:tab w:val="num" w:pos="2160"/>
        </w:tabs>
        <w:ind w:left="2160" w:hanging="360"/>
      </w:pPr>
      <w:rPr>
        <w:rFonts w:ascii="Wingdings" w:hAnsi="Wingdings" w:hint="default"/>
      </w:rPr>
    </w:lvl>
    <w:lvl w:ilvl="3" w:tplc="9CDE8612">
      <w:start w:val="1"/>
      <w:numFmt w:val="bullet"/>
      <w:lvlText w:val=""/>
      <w:lvlJc w:val="left"/>
      <w:pPr>
        <w:tabs>
          <w:tab w:val="num" w:pos="2880"/>
        </w:tabs>
        <w:ind w:left="2880" w:hanging="360"/>
      </w:pPr>
      <w:rPr>
        <w:rFonts w:ascii="Symbol" w:hAnsi="Symbol" w:hint="default"/>
      </w:rPr>
    </w:lvl>
    <w:lvl w:ilvl="4" w:tplc="D068D448">
      <w:start w:val="1"/>
      <w:numFmt w:val="bullet"/>
      <w:lvlText w:val="o"/>
      <w:lvlJc w:val="left"/>
      <w:pPr>
        <w:tabs>
          <w:tab w:val="num" w:pos="3600"/>
        </w:tabs>
        <w:ind w:left="3600" w:hanging="360"/>
      </w:pPr>
      <w:rPr>
        <w:rFonts w:ascii="Courier New" w:hAnsi="Courier New" w:hint="default"/>
      </w:rPr>
    </w:lvl>
    <w:lvl w:ilvl="5" w:tplc="5C1896BA">
      <w:start w:val="1"/>
      <w:numFmt w:val="bullet"/>
      <w:lvlText w:val=""/>
      <w:lvlJc w:val="left"/>
      <w:pPr>
        <w:tabs>
          <w:tab w:val="num" w:pos="4320"/>
        </w:tabs>
        <w:ind w:left="4320" w:hanging="360"/>
      </w:pPr>
      <w:rPr>
        <w:rFonts w:ascii="Wingdings" w:hAnsi="Wingdings" w:hint="default"/>
      </w:rPr>
    </w:lvl>
    <w:lvl w:ilvl="6" w:tplc="EE3057B8">
      <w:start w:val="1"/>
      <w:numFmt w:val="bullet"/>
      <w:lvlText w:val=""/>
      <w:lvlJc w:val="left"/>
      <w:pPr>
        <w:tabs>
          <w:tab w:val="num" w:pos="5040"/>
        </w:tabs>
        <w:ind w:left="5040" w:hanging="360"/>
      </w:pPr>
      <w:rPr>
        <w:rFonts w:ascii="Symbol" w:hAnsi="Symbol" w:hint="default"/>
      </w:rPr>
    </w:lvl>
    <w:lvl w:ilvl="7" w:tplc="C2802CDA">
      <w:start w:val="1"/>
      <w:numFmt w:val="bullet"/>
      <w:lvlText w:val="o"/>
      <w:lvlJc w:val="left"/>
      <w:pPr>
        <w:tabs>
          <w:tab w:val="num" w:pos="5760"/>
        </w:tabs>
        <w:ind w:left="5760" w:hanging="360"/>
      </w:pPr>
      <w:rPr>
        <w:rFonts w:ascii="Courier New" w:hAnsi="Courier New" w:hint="default"/>
      </w:rPr>
    </w:lvl>
    <w:lvl w:ilvl="8" w:tplc="0DBAD4C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70037"/>
    <w:multiLevelType w:val="hybridMultilevel"/>
    <w:tmpl w:val="46B4BC74"/>
    <w:lvl w:ilvl="0" w:tplc="0B4826CE">
      <w:start w:val="1"/>
      <w:numFmt w:val="bullet"/>
      <w:pStyle w:val="Bullet1"/>
      <w:lvlText w:val=""/>
      <w:lvlJc w:val="left"/>
      <w:pPr>
        <w:tabs>
          <w:tab w:val="num" w:pos="360"/>
        </w:tabs>
        <w:ind w:left="357" w:hanging="357"/>
      </w:pPr>
      <w:rPr>
        <w:rFonts w:ascii="Symbol" w:hAnsi="Symbol" w:hint="default"/>
      </w:rPr>
    </w:lvl>
    <w:lvl w:ilvl="1" w:tplc="2230EDC6">
      <w:start w:val="1"/>
      <w:numFmt w:val="bullet"/>
      <w:lvlText w:val="o"/>
      <w:lvlJc w:val="left"/>
      <w:pPr>
        <w:tabs>
          <w:tab w:val="num" w:pos="1440"/>
        </w:tabs>
        <w:ind w:left="1440" w:hanging="360"/>
      </w:pPr>
      <w:rPr>
        <w:rFonts w:ascii="Courier New" w:hAnsi="Courier New" w:hint="default"/>
      </w:rPr>
    </w:lvl>
    <w:lvl w:ilvl="2" w:tplc="6B02926A">
      <w:start w:val="1"/>
      <w:numFmt w:val="bullet"/>
      <w:lvlText w:val=""/>
      <w:lvlJc w:val="left"/>
      <w:pPr>
        <w:tabs>
          <w:tab w:val="num" w:pos="2160"/>
        </w:tabs>
        <w:ind w:left="2160" w:hanging="360"/>
      </w:pPr>
      <w:rPr>
        <w:rFonts w:ascii="Wingdings" w:hAnsi="Wingdings" w:hint="default"/>
      </w:rPr>
    </w:lvl>
    <w:lvl w:ilvl="3" w:tplc="756875F4">
      <w:start w:val="1"/>
      <w:numFmt w:val="bullet"/>
      <w:lvlText w:val=""/>
      <w:lvlJc w:val="left"/>
      <w:pPr>
        <w:tabs>
          <w:tab w:val="num" w:pos="2880"/>
        </w:tabs>
        <w:ind w:left="2880" w:hanging="360"/>
      </w:pPr>
      <w:rPr>
        <w:rFonts w:ascii="Symbol" w:hAnsi="Symbol" w:hint="default"/>
      </w:rPr>
    </w:lvl>
    <w:lvl w:ilvl="4" w:tplc="91D052E0">
      <w:start w:val="1"/>
      <w:numFmt w:val="bullet"/>
      <w:lvlText w:val="o"/>
      <w:lvlJc w:val="left"/>
      <w:pPr>
        <w:tabs>
          <w:tab w:val="num" w:pos="3600"/>
        </w:tabs>
        <w:ind w:left="3600" w:hanging="360"/>
      </w:pPr>
      <w:rPr>
        <w:rFonts w:ascii="Courier New" w:hAnsi="Courier New" w:hint="default"/>
      </w:rPr>
    </w:lvl>
    <w:lvl w:ilvl="5" w:tplc="E1645AD4">
      <w:start w:val="1"/>
      <w:numFmt w:val="bullet"/>
      <w:lvlText w:val=""/>
      <w:lvlJc w:val="left"/>
      <w:pPr>
        <w:tabs>
          <w:tab w:val="num" w:pos="4320"/>
        </w:tabs>
        <w:ind w:left="4320" w:hanging="360"/>
      </w:pPr>
      <w:rPr>
        <w:rFonts w:ascii="Wingdings" w:hAnsi="Wingdings" w:hint="default"/>
      </w:rPr>
    </w:lvl>
    <w:lvl w:ilvl="6" w:tplc="EF86AC98">
      <w:start w:val="1"/>
      <w:numFmt w:val="bullet"/>
      <w:lvlText w:val=""/>
      <w:lvlJc w:val="left"/>
      <w:pPr>
        <w:tabs>
          <w:tab w:val="num" w:pos="5040"/>
        </w:tabs>
        <w:ind w:left="5040" w:hanging="360"/>
      </w:pPr>
      <w:rPr>
        <w:rFonts w:ascii="Symbol" w:hAnsi="Symbol" w:hint="default"/>
      </w:rPr>
    </w:lvl>
    <w:lvl w:ilvl="7" w:tplc="C16E15C8">
      <w:start w:val="1"/>
      <w:numFmt w:val="bullet"/>
      <w:lvlText w:val="o"/>
      <w:lvlJc w:val="left"/>
      <w:pPr>
        <w:tabs>
          <w:tab w:val="num" w:pos="5760"/>
        </w:tabs>
        <w:ind w:left="5760" w:hanging="360"/>
      </w:pPr>
      <w:rPr>
        <w:rFonts w:ascii="Courier New" w:hAnsi="Courier New" w:hint="default"/>
      </w:rPr>
    </w:lvl>
    <w:lvl w:ilvl="8" w:tplc="23026C1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E373A"/>
    <w:multiLevelType w:val="hybridMultilevel"/>
    <w:tmpl w:val="E2B03D80"/>
    <w:lvl w:ilvl="0" w:tplc="54CC925C">
      <w:start w:val="1"/>
      <w:numFmt w:val="bullet"/>
      <w:lvlText w:val=""/>
      <w:lvlJc w:val="left"/>
      <w:pPr>
        <w:ind w:left="720" w:hanging="360"/>
      </w:pPr>
      <w:rPr>
        <w:rFonts w:ascii="Symbol" w:hAnsi="Symbol" w:hint="default"/>
      </w:rPr>
    </w:lvl>
    <w:lvl w:ilvl="1" w:tplc="6ED8E09C">
      <w:start w:val="1"/>
      <w:numFmt w:val="bullet"/>
      <w:lvlText w:val="o"/>
      <w:lvlJc w:val="left"/>
      <w:pPr>
        <w:ind w:left="1440" w:hanging="360"/>
      </w:pPr>
      <w:rPr>
        <w:rFonts w:ascii="Courier New" w:hAnsi="Courier New" w:hint="default"/>
      </w:rPr>
    </w:lvl>
    <w:lvl w:ilvl="2" w:tplc="5FCCA0A8" w:tentative="1">
      <w:start w:val="1"/>
      <w:numFmt w:val="bullet"/>
      <w:lvlText w:val=""/>
      <w:lvlJc w:val="left"/>
      <w:pPr>
        <w:ind w:left="2160" w:hanging="360"/>
      </w:pPr>
      <w:rPr>
        <w:rFonts w:ascii="Wingdings" w:hAnsi="Wingdings" w:hint="default"/>
      </w:rPr>
    </w:lvl>
    <w:lvl w:ilvl="3" w:tplc="D0A87254" w:tentative="1">
      <w:start w:val="1"/>
      <w:numFmt w:val="bullet"/>
      <w:lvlText w:val=""/>
      <w:lvlJc w:val="left"/>
      <w:pPr>
        <w:ind w:left="2880" w:hanging="360"/>
      </w:pPr>
      <w:rPr>
        <w:rFonts w:ascii="Symbol" w:hAnsi="Symbol" w:hint="default"/>
      </w:rPr>
    </w:lvl>
    <w:lvl w:ilvl="4" w:tplc="9C421E0A" w:tentative="1">
      <w:start w:val="1"/>
      <w:numFmt w:val="bullet"/>
      <w:lvlText w:val="o"/>
      <w:lvlJc w:val="left"/>
      <w:pPr>
        <w:ind w:left="3600" w:hanging="360"/>
      </w:pPr>
      <w:rPr>
        <w:rFonts w:ascii="Courier New" w:hAnsi="Courier New" w:hint="default"/>
      </w:rPr>
    </w:lvl>
    <w:lvl w:ilvl="5" w:tplc="D9DED4C2" w:tentative="1">
      <w:start w:val="1"/>
      <w:numFmt w:val="bullet"/>
      <w:lvlText w:val=""/>
      <w:lvlJc w:val="left"/>
      <w:pPr>
        <w:ind w:left="4320" w:hanging="360"/>
      </w:pPr>
      <w:rPr>
        <w:rFonts w:ascii="Wingdings" w:hAnsi="Wingdings" w:hint="default"/>
      </w:rPr>
    </w:lvl>
    <w:lvl w:ilvl="6" w:tplc="92009E8C" w:tentative="1">
      <w:start w:val="1"/>
      <w:numFmt w:val="bullet"/>
      <w:lvlText w:val=""/>
      <w:lvlJc w:val="left"/>
      <w:pPr>
        <w:ind w:left="5040" w:hanging="360"/>
      </w:pPr>
      <w:rPr>
        <w:rFonts w:ascii="Symbol" w:hAnsi="Symbol" w:hint="default"/>
      </w:rPr>
    </w:lvl>
    <w:lvl w:ilvl="7" w:tplc="E708D0FC" w:tentative="1">
      <w:start w:val="1"/>
      <w:numFmt w:val="bullet"/>
      <w:lvlText w:val="o"/>
      <w:lvlJc w:val="left"/>
      <w:pPr>
        <w:ind w:left="5760" w:hanging="360"/>
      </w:pPr>
      <w:rPr>
        <w:rFonts w:ascii="Courier New" w:hAnsi="Courier New" w:hint="default"/>
      </w:rPr>
    </w:lvl>
    <w:lvl w:ilvl="8" w:tplc="0282803C" w:tentative="1">
      <w:start w:val="1"/>
      <w:numFmt w:val="bullet"/>
      <w:lvlText w:val=""/>
      <w:lvlJc w:val="left"/>
      <w:pPr>
        <w:ind w:left="6480" w:hanging="360"/>
      </w:pPr>
      <w:rPr>
        <w:rFonts w:ascii="Wingdings" w:hAnsi="Wingdings" w:hint="default"/>
      </w:rPr>
    </w:lvl>
  </w:abstractNum>
  <w:abstractNum w:abstractNumId="18"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4"/>
  </w:num>
  <w:num w:numId="3">
    <w:abstractNumId w:val="13"/>
  </w:num>
  <w:num w:numId="4">
    <w:abstractNumId w:val="11"/>
  </w:num>
  <w:num w:numId="5">
    <w:abstractNumId w:val="16"/>
  </w:num>
  <w:num w:numId="6">
    <w:abstractNumId w:val="13"/>
  </w:num>
  <w:num w:numId="7">
    <w:abstractNumId w:val="11"/>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8"/>
  </w:num>
  <w:num w:numId="13">
    <w:abstractNumId w:val="11"/>
  </w:num>
  <w:num w:numId="14">
    <w:abstractNumId w:val="13"/>
  </w:num>
  <w:num w:numId="15">
    <w:abstractNumId w:val="13"/>
  </w:num>
  <w:num w:numId="16">
    <w:abstractNumId w:val="15"/>
  </w:num>
  <w:num w:numId="17">
    <w:abstractNumId w:val="11"/>
  </w:num>
  <w:num w:numId="18">
    <w:abstractNumId w:val="11"/>
  </w:num>
  <w:num w:numId="19">
    <w:abstractNumId w:val="8"/>
  </w:num>
  <w:num w:numId="20">
    <w:abstractNumId w:val="11"/>
  </w:num>
  <w:num w:numId="21">
    <w:abstractNumId w:val="12"/>
  </w:num>
  <w:num w:numId="22">
    <w:abstractNumId w:val="10"/>
  </w:num>
  <w:num w:numId="23">
    <w:abstractNumId w:val="3"/>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17"/>
  </w:num>
  <w:num w:numId="27">
    <w:abstractNumId w:val="13"/>
  </w:num>
  <w:num w:numId="28">
    <w:abstractNumId w:val="7"/>
  </w:num>
  <w:num w:numId="29">
    <w:abstractNumId w:val="11"/>
  </w:num>
  <w:num w:numId="30">
    <w:abstractNumId w:val="14"/>
  </w:num>
  <w:num w:numId="31">
    <w:abstractNumId w:val="6"/>
  </w:num>
  <w:num w:numId="32">
    <w:abstractNumId w:val="18"/>
  </w:num>
  <w:num w:numId="33">
    <w:abstractNumId w:val="0"/>
  </w:num>
  <w:num w:numId="34">
    <w:abstractNumId w:val="11"/>
  </w:num>
  <w:num w:numId="35">
    <w:abstractNumId w:val="11"/>
  </w:num>
  <w:num w:numId="36">
    <w:abstractNumId w:val="11"/>
  </w:num>
  <w:num w:numId="37">
    <w:abstractNumId w:val="11"/>
  </w:num>
  <w:num w:numId="38">
    <w:abstractNumId w:val="1"/>
  </w:num>
  <w:num w:numId="39">
    <w:abstractNumId w:val="11"/>
  </w:num>
  <w:num w:numId="40">
    <w:abstractNumId w:val="11"/>
  </w:num>
  <w:num w:numId="41">
    <w:abstractNumId w:val="11"/>
  </w:num>
  <w:num w:numId="42">
    <w:abstractNumId w:val="2"/>
  </w:num>
  <w:num w:numId="43">
    <w:abstractNumId w:val="11"/>
  </w:num>
  <w:num w:numId="44">
    <w:abstractNumId w:val="5"/>
  </w:num>
  <w:num w:numId="45">
    <w:abstractNumId w:val="11"/>
  </w:num>
  <w:num w:numId="46">
    <w:abstractNumId w:val="11"/>
  </w:num>
  <w:num w:numId="47">
    <w:abstractNumId w:val="11"/>
  </w:num>
  <w:num w:numId="48">
    <w:abstractNumId w:val="11"/>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561C14"/>
    <w:rsid w:val="00004816"/>
    <w:rsid w:val="00006A09"/>
    <w:rsid w:val="000212DF"/>
    <w:rsid w:val="00021327"/>
    <w:rsid w:val="000213F5"/>
    <w:rsid w:val="000224DF"/>
    <w:rsid w:val="00027075"/>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21C33"/>
    <w:rsid w:val="00132C35"/>
    <w:rsid w:val="00136B59"/>
    <w:rsid w:val="001372CC"/>
    <w:rsid w:val="00141F26"/>
    <w:rsid w:val="00145590"/>
    <w:rsid w:val="00153AE0"/>
    <w:rsid w:val="00165465"/>
    <w:rsid w:val="00167C58"/>
    <w:rsid w:val="00182FA0"/>
    <w:rsid w:val="001905FC"/>
    <w:rsid w:val="001A0275"/>
    <w:rsid w:val="001A6F2C"/>
    <w:rsid w:val="001C078A"/>
    <w:rsid w:val="001C2A65"/>
    <w:rsid w:val="001C2CBE"/>
    <w:rsid w:val="001C4C9A"/>
    <w:rsid w:val="001D44C4"/>
    <w:rsid w:val="001E34BE"/>
    <w:rsid w:val="001E552B"/>
    <w:rsid w:val="001F7F3D"/>
    <w:rsid w:val="00200841"/>
    <w:rsid w:val="00201495"/>
    <w:rsid w:val="002060F7"/>
    <w:rsid w:val="00230B59"/>
    <w:rsid w:val="002342D6"/>
    <w:rsid w:val="0024138C"/>
    <w:rsid w:val="00243B16"/>
    <w:rsid w:val="002728EA"/>
    <w:rsid w:val="00290ACF"/>
    <w:rsid w:val="002917D4"/>
    <w:rsid w:val="0029683E"/>
    <w:rsid w:val="00296BEA"/>
    <w:rsid w:val="002A3611"/>
    <w:rsid w:val="002A36EB"/>
    <w:rsid w:val="002B0067"/>
    <w:rsid w:val="002B30DE"/>
    <w:rsid w:val="002B3B99"/>
    <w:rsid w:val="002B4F8C"/>
    <w:rsid w:val="002B61B3"/>
    <w:rsid w:val="002D6E56"/>
    <w:rsid w:val="002E431E"/>
    <w:rsid w:val="00314D64"/>
    <w:rsid w:val="003247CB"/>
    <w:rsid w:val="00331E93"/>
    <w:rsid w:val="003365BA"/>
    <w:rsid w:val="00360F62"/>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37B6"/>
    <w:rsid w:val="0045435E"/>
    <w:rsid w:val="00470A22"/>
    <w:rsid w:val="004764DB"/>
    <w:rsid w:val="004A083A"/>
    <w:rsid w:val="004B3A81"/>
    <w:rsid w:val="004B44E1"/>
    <w:rsid w:val="004B5229"/>
    <w:rsid w:val="004C3AAC"/>
    <w:rsid w:val="004D4037"/>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C08B7"/>
    <w:rsid w:val="005C17E8"/>
    <w:rsid w:val="005C4E42"/>
    <w:rsid w:val="005D08BE"/>
    <w:rsid w:val="005E2D37"/>
    <w:rsid w:val="005E30E0"/>
    <w:rsid w:val="005E3CEB"/>
    <w:rsid w:val="005E627E"/>
    <w:rsid w:val="005F4798"/>
    <w:rsid w:val="005F4E3F"/>
    <w:rsid w:val="0060574A"/>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36FC"/>
    <w:rsid w:val="0070661B"/>
    <w:rsid w:val="007070F9"/>
    <w:rsid w:val="007133B3"/>
    <w:rsid w:val="007134FC"/>
    <w:rsid w:val="00730F64"/>
    <w:rsid w:val="00732DD7"/>
    <w:rsid w:val="00740F6E"/>
    <w:rsid w:val="00754170"/>
    <w:rsid w:val="007579C4"/>
    <w:rsid w:val="00764945"/>
    <w:rsid w:val="007655D1"/>
    <w:rsid w:val="00780F6B"/>
    <w:rsid w:val="007867E0"/>
    <w:rsid w:val="007954AD"/>
    <w:rsid w:val="007B3889"/>
    <w:rsid w:val="007C21DD"/>
    <w:rsid w:val="007C6A8E"/>
    <w:rsid w:val="007E58DA"/>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A52C4"/>
    <w:rsid w:val="008E0C30"/>
    <w:rsid w:val="008F5D0C"/>
    <w:rsid w:val="009009D1"/>
    <w:rsid w:val="00902CD0"/>
    <w:rsid w:val="009206E8"/>
    <w:rsid w:val="009254AF"/>
    <w:rsid w:val="009266E6"/>
    <w:rsid w:val="009336CB"/>
    <w:rsid w:val="009453B6"/>
    <w:rsid w:val="00946C43"/>
    <w:rsid w:val="009476D1"/>
    <w:rsid w:val="00951E13"/>
    <w:rsid w:val="00962082"/>
    <w:rsid w:val="009721E3"/>
    <w:rsid w:val="00985582"/>
    <w:rsid w:val="00990706"/>
    <w:rsid w:val="009A1F56"/>
    <w:rsid w:val="009B07F5"/>
    <w:rsid w:val="009D0F96"/>
    <w:rsid w:val="009D5775"/>
    <w:rsid w:val="009E0C22"/>
    <w:rsid w:val="009E4EA1"/>
    <w:rsid w:val="009F2253"/>
    <w:rsid w:val="009F489C"/>
    <w:rsid w:val="00A00DE4"/>
    <w:rsid w:val="00A038C5"/>
    <w:rsid w:val="00A11C80"/>
    <w:rsid w:val="00A1448B"/>
    <w:rsid w:val="00A2162F"/>
    <w:rsid w:val="00A26A74"/>
    <w:rsid w:val="00A3065D"/>
    <w:rsid w:val="00A36DC2"/>
    <w:rsid w:val="00A45676"/>
    <w:rsid w:val="00A548FD"/>
    <w:rsid w:val="00A62262"/>
    <w:rsid w:val="00A73297"/>
    <w:rsid w:val="00A772DF"/>
    <w:rsid w:val="00A80720"/>
    <w:rsid w:val="00A850C7"/>
    <w:rsid w:val="00A86FBD"/>
    <w:rsid w:val="00AA0100"/>
    <w:rsid w:val="00AA342A"/>
    <w:rsid w:val="00AB108B"/>
    <w:rsid w:val="00AB450C"/>
    <w:rsid w:val="00AB5B7C"/>
    <w:rsid w:val="00AB68C1"/>
    <w:rsid w:val="00AC3D13"/>
    <w:rsid w:val="00AD22E2"/>
    <w:rsid w:val="00AD48A4"/>
    <w:rsid w:val="00AD4F3A"/>
    <w:rsid w:val="00AD545F"/>
    <w:rsid w:val="00AD733E"/>
    <w:rsid w:val="00AE70A0"/>
    <w:rsid w:val="00AF4E85"/>
    <w:rsid w:val="00B058CF"/>
    <w:rsid w:val="00B16B8E"/>
    <w:rsid w:val="00B17EE2"/>
    <w:rsid w:val="00B27648"/>
    <w:rsid w:val="00B3573B"/>
    <w:rsid w:val="00B63CFA"/>
    <w:rsid w:val="00B7506F"/>
    <w:rsid w:val="00B93B4D"/>
    <w:rsid w:val="00B96FE1"/>
    <w:rsid w:val="00BD307F"/>
    <w:rsid w:val="00BE2E12"/>
    <w:rsid w:val="00C00B62"/>
    <w:rsid w:val="00C012A0"/>
    <w:rsid w:val="00C21CF3"/>
    <w:rsid w:val="00C249B7"/>
    <w:rsid w:val="00C41708"/>
    <w:rsid w:val="00C42B00"/>
    <w:rsid w:val="00C45400"/>
    <w:rsid w:val="00C501BF"/>
    <w:rsid w:val="00C5421F"/>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3540"/>
    <w:rsid w:val="00CF725A"/>
    <w:rsid w:val="00D013D1"/>
    <w:rsid w:val="00D015E8"/>
    <w:rsid w:val="00D028FC"/>
    <w:rsid w:val="00D0345E"/>
    <w:rsid w:val="00D035EF"/>
    <w:rsid w:val="00D11AC6"/>
    <w:rsid w:val="00D154B4"/>
    <w:rsid w:val="00D171B6"/>
    <w:rsid w:val="00D171EC"/>
    <w:rsid w:val="00D34CDC"/>
    <w:rsid w:val="00D40D84"/>
    <w:rsid w:val="00D45E78"/>
    <w:rsid w:val="00D478B0"/>
    <w:rsid w:val="00D5332D"/>
    <w:rsid w:val="00D5366A"/>
    <w:rsid w:val="00D62D7C"/>
    <w:rsid w:val="00D66735"/>
    <w:rsid w:val="00D728B5"/>
    <w:rsid w:val="00D76620"/>
    <w:rsid w:val="00DA6A2A"/>
    <w:rsid w:val="00DB152D"/>
    <w:rsid w:val="00DB15B2"/>
    <w:rsid w:val="00DC2D01"/>
    <w:rsid w:val="00DC4FC2"/>
    <w:rsid w:val="00DD0485"/>
    <w:rsid w:val="00DD1AC0"/>
    <w:rsid w:val="00DD6AE4"/>
    <w:rsid w:val="00E16347"/>
    <w:rsid w:val="00E31E37"/>
    <w:rsid w:val="00E35AB1"/>
    <w:rsid w:val="00E4579E"/>
    <w:rsid w:val="00E536E3"/>
    <w:rsid w:val="00E545F9"/>
    <w:rsid w:val="00E67B7A"/>
    <w:rsid w:val="00E72D33"/>
    <w:rsid w:val="00E8156A"/>
    <w:rsid w:val="00E82BB4"/>
    <w:rsid w:val="00E82C90"/>
    <w:rsid w:val="00E84E5B"/>
    <w:rsid w:val="00E850B8"/>
    <w:rsid w:val="00E858A3"/>
    <w:rsid w:val="00E95AAB"/>
    <w:rsid w:val="00EA2EBE"/>
    <w:rsid w:val="00EA4FB4"/>
    <w:rsid w:val="00EB70C9"/>
    <w:rsid w:val="00EC19D1"/>
    <w:rsid w:val="00EC7E1B"/>
    <w:rsid w:val="00ED449D"/>
    <w:rsid w:val="00EF04AC"/>
    <w:rsid w:val="00EF687F"/>
    <w:rsid w:val="00F31D78"/>
    <w:rsid w:val="00F361EA"/>
    <w:rsid w:val="00F439D1"/>
    <w:rsid w:val="00F43B76"/>
    <w:rsid w:val="00F43F0C"/>
    <w:rsid w:val="00F547CF"/>
    <w:rsid w:val="00F77B4C"/>
    <w:rsid w:val="00F81F46"/>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0A8BFED-18F3-4854-B636-D9760DD7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036FC"/>
    <w:pPr>
      <w:spacing w:after="160" w:line="240" w:lineRule="auto"/>
      <w:ind w:left="717" w:hanging="717"/>
    </w:pPr>
    <w:rPr>
      <w:rFonts w:ascii="Tahoma" w:eastAsia="Times New Roman" w:hAnsi="Tahoma" w:cs="Tahoma"/>
      <w:color w:val="000000"/>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D035EF"/>
    <w:pPr>
      <w:tabs>
        <w:tab w:val="center" w:pos="4680"/>
        <w:tab w:val="right" w:pos="9360"/>
      </w:tabs>
      <w:spacing w:after="0"/>
    </w:pPr>
  </w:style>
  <w:style w:type="character" w:customStyle="1" w:styleId="HeaderChar">
    <w:name w:val="Header Char"/>
    <w:basedOn w:val="DefaultParagraphFont"/>
    <w:link w:val="Header"/>
    <w:uiPriority w:val="99"/>
    <w:rsid w:val="00D035EF"/>
    <w:rPr>
      <w:rFonts w:ascii="Tahoma" w:eastAsia="Times New Roman" w:hAnsi="Tahoma" w:cs="Tahoma"/>
      <w:color w:val="000000"/>
      <w:sz w:val="19"/>
      <w:szCs w:val="19"/>
    </w:rPr>
  </w:style>
  <w:style w:type="paragraph" w:styleId="Footer">
    <w:name w:val="footer"/>
    <w:basedOn w:val="Normal"/>
    <w:link w:val="FooterChar"/>
    <w:uiPriority w:val="99"/>
    <w:unhideWhenUsed/>
    <w:rsid w:val="00D035EF"/>
    <w:pPr>
      <w:tabs>
        <w:tab w:val="center" w:pos="4680"/>
        <w:tab w:val="right" w:pos="9360"/>
      </w:tabs>
      <w:spacing w:after="0"/>
    </w:pPr>
  </w:style>
  <w:style w:type="character" w:customStyle="1" w:styleId="FooterChar">
    <w:name w:val="Footer Char"/>
    <w:basedOn w:val="DefaultParagraphFont"/>
    <w:link w:val="Footer"/>
    <w:uiPriority w:val="99"/>
    <w:rsid w:val="00D035EF"/>
    <w:rPr>
      <w:rFonts w:ascii="Tahoma" w:eastAsia="Times New Roman" w:hAnsi="Tahoma" w:cs="Tahom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2.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9AD89-6435-4700-B526-3029A696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Monica Mora</cp:lastModifiedBy>
  <cp:revision>10</cp:revision>
  <cp:lastPrinted>2018-10-08T20:32:00Z</cp:lastPrinted>
  <dcterms:created xsi:type="dcterms:W3CDTF">2019-01-03T11:58:00Z</dcterms:created>
  <dcterms:modified xsi:type="dcterms:W3CDTF">2019-01-10T21:52:00Z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