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AABE" w14:textId="77777777" w:rsidR="00D61D35" w:rsidRPr="002770B9" w:rsidRDefault="002770B9" w:rsidP="00D61D35">
      <w:pPr>
        <w:pStyle w:val="HeadingEULA"/>
        <w:rPr>
          <w:lang w:val="de-DE"/>
        </w:rPr>
      </w:pPr>
      <w:bookmarkStart w:id="0" w:name="_GoBack"/>
      <w:bookmarkEnd w:id="0"/>
      <w:r>
        <w:rPr>
          <w:rFonts w:eastAsia="Tahoma"/>
          <w:lang w:val="de-DE"/>
        </w:rPr>
        <w:t>MICROSOFT-LIZENZBESTIMMUNGEN FÜR VORABVERSIONSSOFTWARE</w:t>
      </w:r>
    </w:p>
    <w:p w14:paraId="24D4AABF" w14:textId="77777777" w:rsidR="0061349C" w:rsidRPr="002770B9" w:rsidRDefault="002770B9" w:rsidP="0061349C">
      <w:pPr>
        <w:pStyle w:val="HeadingSoftwareTitle"/>
        <w:rPr>
          <w:sz w:val="22"/>
          <w:szCs w:val="22"/>
          <w:lang w:val="de-DE"/>
        </w:rPr>
      </w:pPr>
      <w:r>
        <w:rPr>
          <w:rFonts w:eastAsia="Tahoma"/>
          <w:sz w:val="22"/>
          <w:szCs w:val="22"/>
          <w:lang w:val="de-DE"/>
        </w:rPr>
        <w:t xml:space="preserve">VISUAL STUDIO ENTERPRISE 2019, VISUAL STUDIO PROFESSIONAL 2019 und TESTVERSIONEN </w:t>
      </w:r>
      <w:r>
        <w:rPr>
          <w:rFonts w:eastAsia="Tahoma"/>
          <w:sz w:val="22"/>
          <w:szCs w:val="22"/>
          <w:lang w:val="de-DE"/>
        </w:rPr>
        <w:br/>
        <w:t>und DIAGNOSETOOLS, BUILD TOOLS sowie ERWEITERUNGEN FÜR VISUAL STUDIO</w:t>
      </w:r>
    </w:p>
    <w:p w14:paraId="24D4AAC0" w14:textId="77777777" w:rsidR="00D61D35" w:rsidRPr="002770B9" w:rsidRDefault="002770B9" w:rsidP="00D61D35">
      <w:pPr>
        <w:rPr>
          <w:lang w:val="de-DE"/>
        </w:rPr>
      </w:pPr>
      <w:r>
        <w:rPr>
          <w:rFonts w:eastAsia="Tahoma"/>
          <w:lang w:val="de-DE"/>
        </w:rPr>
        <w:t>Diese Lizenzbestimmungen sind eine Vereinbarung zwischen Ihnen und der Microsoft Corporation (oder je nach Ihrem Wohnsitz, einem ihrer Affiliate-Partner). Sie gelten für die oben angeführte Software. Die Bestimmungen gelten ebenso für jegliche von Microsoft angebotenen Dienste oder Updates für die Software, sofern diesen keine anderen Bestimmungen beiliegen.</w:t>
      </w:r>
    </w:p>
    <w:p w14:paraId="24D4AAC1" w14:textId="77777777" w:rsidR="00D61D35" w:rsidRPr="002770B9" w:rsidRDefault="002770B9" w:rsidP="00D61D35">
      <w:pPr>
        <w:pStyle w:val="PreambleBorderAbove"/>
        <w:rPr>
          <w:lang w:val="de-DE"/>
        </w:rPr>
      </w:pPr>
      <w:r>
        <w:rPr>
          <w:rFonts w:eastAsia="Tahoma"/>
          <w:lang w:val="de-DE"/>
        </w:rPr>
        <w:t>WENN SIE DIESE LIZENZBESTIMMUNGEN EINHALTEN, VERFÜGEN SIE ÜBER DIE NACHFOLGEND AUFGEFÜHRTEN RECHTE.</w:t>
      </w:r>
    </w:p>
    <w:p w14:paraId="24D4AAC2" w14:textId="77777777" w:rsidR="00D00DB4" w:rsidRPr="002770B9" w:rsidRDefault="002770B9" w:rsidP="00634A23">
      <w:pPr>
        <w:pStyle w:val="ListParagraph"/>
        <w:numPr>
          <w:ilvl w:val="0"/>
          <w:numId w:val="36"/>
        </w:numPr>
        <w:ind w:left="360"/>
        <w:outlineLvl w:val="0"/>
        <w:rPr>
          <w:lang w:val="de-DE"/>
        </w:rPr>
      </w:pPr>
      <w:r>
        <w:rPr>
          <w:rFonts w:eastAsia="Tahoma"/>
          <w:b/>
          <w:bCs/>
          <w:lang w:val="de-DE"/>
        </w:rPr>
        <w:t xml:space="preserve">NUTZUNGSZEITRAUM DER SOFTWARE-TESTVERSION. </w:t>
      </w:r>
      <w:r>
        <w:rPr>
          <w:rFonts w:eastAsia="Tahoma"/>
          <w:lang w:val="de-DE"/>
        </w:rPr>
        <w:t xml:space="preserve">Sie sind berechtigt, eine beliebige Anzahl von Kopien der Testversion der Software auf Ihren Geräten zu verwenden. Sie dürfen die Testversion nur für interne Bewertungszwecke und nur während des Testzeitraums nutzen. Sie sind nicht berechtigt, Anwendungen, die Sie mit der Testversion erstellen, an eine Produktionsumgebung zu verteilen oder dort bereitzustellen. Sie sind berechtigt, während des Testzeitraums Auslastungstests im Umfang von bis zu 250 virtuellen Nutzern durchzuführen. </w:t>
      </w:r>
    </w:p>
    <w:p w14:paraId="24D4AAC3" w14:textId="77777777" w:rsidR="00D00DB4" w:rsidRPr="002770B9" w:rsidRDefault="002770B9" w:rsidP="00B07395">
      <w:pPr>
        <w:ind w:left="360"/>
        <w:contextualSpacing/>
        <w:rPr>
          <w:b/>
          <w:lang w:val="de-DE"/>
        </w:rPr>
      </w:pPr>
      <w:r>
        <w:rPr>
          <w:rFonts w:eastAsia="Tahoma"/>
          <w:lang w:val="de-DE"/>
        </w:rPr>
        <w:t xml:space="preserve">Die Probezeit dauert 30 Tage, nachdem Sie die Testversion installiert haben, plus eine gewährte Verlängerungsperiode. Nach dem Ablauf des Testzeitraums kann die Testversion nicht mehr ausgeführt werden. Sie können Ihre Testversionsrechte jederzeit in die unten genannten Vollnutzungsrechte umwandeln, indem Sie sich mit Ihrem Microsoft-Konto anmelden, das mit Ihrem lizenzierten Visual Studio-Abonnement verknüpft ist. </w:t>
      </w:r>
    </w:p>
    <w:p w14:paraId="24D4AAC4" w14:textId="77777777" w:rsidR="00D61D35" w:rsidRPr="002770B9" w:rsidRDefault="002770B9" w:rsidP="00634A23">
      <w:pPr>
        <w:pStyle w:val="Heading1"/>
        <w:numPr>
          <w:ilvl w:val="0"/>
          <w:numId w:val="36"/>
        </w:numPr>
        <w:ind w:left="360"/>
        <w:rPr>
          <w:lang w:val="de-DE"/>
        </w:rPr>
      </w:pPr>
      <w:r>
        <w:rPr>
          <w:rFonts w:eastAsia="Tahoma"/>
          <w:lang w:val="de-DE"/>
        </w:rPr>
        <w:t>RECHTE ZUR INSTALLATION UND NUTZUNG.</w:t>
      </w:r>
    </w:p>
    <w:p w14:paraId="24D4AAC5" w14:textId="77777777" w:rsidR="000C02D6" w:rsidRPr="002770B9" w:rsidRDefault="002770B9" w:rsidP="00634A23">
      <w:pPr>
        <w:pStyle w:val="Heading2"/>
        <w:widowControl w:val="0"/>
        <w:numPr>
          <w:ilvl w:val="1"/>
          <w:numId w:val="36"/>
        </w:numPr>
        <w:ind w:left="720"/>
        <w:rPr>
          <w:rFonts w:eastAsia="SimSun"/>
          <w:b w:val="0"/>
          <w:bCs w:val="0"/>
          <w:lang w:val="de-DE"/>
        </w:rPr>
      </w:pPr>
      <w:r>
        <w:rPr>
          <w:rFonts w:eastAsia="Tahoma"/>
          <w:lang w:val="de-DE"/>
        </w:rPr>
        <w:t xml:space="preserve">Allgemein.  </w:t>
      </w:r>
      <w:r>
        <w:rPr>
          <w:rFonts w:eastAsia="Tahoma"/>
          <w:b w:val="0"/>
          <w:bCs w:val="0"/>
          <w:lang w:val="de-DE"/>
        </w:rPr>
        <w:t>Sie dürfen Kopien der Software nur zum Entwickeln und Testen Ihrer Anwendungen nutzen. Darunter fällt unter anderem die Nutzung von Kopien der Software auf Ihren eigenen internen Servern, die für die Nutzung durch Sie bestimmt sind. Sie sind jedoch nicht berechtigt, die Komponenten der Software zu trennen (sofern in diesem Vertrag nicht anders angegeben) und diese in einer Produktionsumgebung oder auf Drittgeräten oder für andere Zwecke als die Entwicklung und Prüfung Ihrer Anwendungen auszuführen. Das Ausführen der Software in Microsoft Azure kann separate Online-Nutzungsgebühren verursachen.</w:t>
      </w:r>
    </w:p>
    <w:p w14:paraId="24D4AAC6" w14:textId="77777777" w:rsidR="00F15B5D" w:rsidRPr="002770B9" w:rsidRDefault="002770B9" w:rsidP="00634A23">
      <w:pPr>
        <w:pStyle w:val="Heading2"/>
        <w:widowControl w:val="0"/>
        <w:numPr>
          <w:ilvl w:val="1"/>
          <w:numId w:val="36"/>
        </w:numPr>
        <w:ind w:left="720"/>
        <w:rPr>
          <w:b w:val="0"/>
          <w:lang w:val="de-DE"/>
        </w:rPr>
      </w:pPr>
      <w:r>
        <w:rPr>
          <w:rFonts w:eastAsia="Tahoma"/>
          <w:lang w:val="de-DE"/>
        </w:rPr>
        <w:t>Workloads.</w:t>
      </w:r>
      <w:r>
        <w:rPr>
          <w:rFonts w:eastAsia="Tahoma"/>
          <w:b w:val="0"/>
          <w:bCs w:val="0"/>
          <w:lang w:val="de-DE"/>
        </w:rPr>
        <w:t xml:space="preserve"> Diese Lizenzbestimmungen gelten für Ihre Verwendung der Workloads, die Ihnen in der Software zur Verfügung gestellt werden,</w:t>
      </w:r>
      <w:r>
        <w:rPr>
          <w:rFonts w:eastAsia="Tahoma"/>
          <w:lang w:val="de-DE"/>
        </w:rPr>
        <w:t xml:space="preserve"> </w:t>
      </w:r>
      <w:r>
        <w:rPr>
          <w:rFonts w:eastAsia="Tahoma"/>
          <w:b w:val="0"/>
          <w:bCs w:val="0"/>
          <w:lang w:val="de-DE"/>
        </w:rPr>
        <w:t xml:space="preserve">ausgenommen dem Fall, dass eine Workload oder eine Workload-Komponente mit anderen Begriffen geliefert wird. </w:t>
      </w:r>
    </w:p>
    <w:p w14:paraId="24D4AAC7" w14:textId="77777777" w:rsidR="001C033E" w:rsidRPr="002770B9" w:rsidRDefault="002770B9" w:rsidP="00634A23">
      <w:pPr>
        <w:pStyle w:val="Heading2"/>
        <w:widowControl w:val="0"/>
        <w:numPr>
          <w:ilvl w:val="1"/>
          <w:numId w:val="36"/>
        </w:numPr>
        <w:ind w:left="720"/>
        <w:rPr>
          <w:b w:val="0"/>
          <w:lang w:val="de-DE"/>
        </w:rPr>
      </w:pPr>
      <w:r>
        <w:rPr>
          <w:rFonts w:eastAsia="Tahoma"/>
          <w:lang w:val="de-DE"/>
        </w:rPr>
        <w:t>Cloud-Nutzung.</w:t>
      </w:r>
      <w:r>
        <w:rPr>
          <w:rFonts w:eastAsia="Tahoma"/>
          <w:b w:val="0"/>
          <w:bCs w:val="0"/>
          <w:lang w:val="de-DE"/>
        </w:rPr>
        <w:t>Sie sind berechtigt, die Vorabversionssoftware für Visual Studio Enterprise 2019 und Visual Studio Professional 2019 auf Microsoft Azure auszuführen.</w:t>
      </w:r>
    </w:p>
    <w:p w14:paraId="24D4AAC8" w14:textId="77777777" w:rsidR="00685AB1" w:rsidRPr="002770B9" w:rsidRDefault="002770B9" w:rsidP="00634A23">
      <w:pPr>
        <w:pStyle w:val="Heading2"/>
        <w:widowControl w:val="0"/>
        <w:numPr>
          <w:ilvl w:val="1"/>
          <w:numId w:val="36"/>
        </w:numPr>
        <w:ind w:left="720"/>
        <w:rPr>
          <w:lang w:val="de-DE"/>
        </w:rPr>
      </w:pPr>
      <w:r>
        <w:rPr>
          <w:rFonts w:eastAsia="Tahoma"/>
          <w:lang w:val="de-DE"/>
        </w:rPr>
        <w:t>Onlinedienste in der Software.</w:t>
      </w:r>
      <w:r>
        <w:rPr>
          <w:rFonts w:eastAsia="Tahoma"/>
          <w:b w:val="0"/>
          <w:bCs w:val="0"/>
          <w:lang w:val="de-DE"/>
        </w:rPr>
        <w:t>Einige Funktionen der Software nutzen Onlinedienste, um Ihnen Informationen über Aktualisierungen der Software oder Erweiterungen zu bereitzustellen oder Ihnen zu ermöglichen, Inhalte abzurufen, mit anderen zusammenzuarbeiten oder Ihre Entwicklungserfahrung anderweitig zu ergänzen. Im Rahmen dieses Vertrages umfasst der Begriff „Software“ diese Onlinedienst–Features.</w:t>
      </w:r>
    </w:p>
    <w:p w14:paraId="24D4AAC9" w14:textId="77777777" w:rsidR="001A7157" w:rsidRPr="002770B9" w:rsidRDefault="002770B9" w:rsidP="00634A23">
      <w:pPr>
        <w:pStyle w:val="Heading2"/>
        <w:widowControl w:val="0"/>
        <w:numPr>
          <w:ilvl w:val="1"/>
          <w:numId w:val="36"/>
        </w:numPr>
        <w:ind w:left="720"/>
        <w:rPr>
          <w:lang w:val="de-DE"/>
        </w:rPr>
      </w:pPr>
      <w:r>
        <w:rPr>
          <w:rFonts w:eastAsia="Tahoma"/>
          <w:lang w:val="de-DE"/>
        </w:rPr>
        <w:t xml:space="preserve">Demo-Nutzung. </w:t>
      </w:r>
      <w:r>
        <w:rPr>
          <w:rFonts w:eastAsia="Tahoma"/>
          <w:b w:val="0"/>
          <w:bCs w:val="0"/>
          <w:lang w:val="de-DE"/>
        </w:rPr>
        <w:t>Die vorstehend genehmigten Nutzungszwecke enthalten die Nutzung der Software zur Demonstration Ihrer Anwendungen.</w:t>
      </w:r>
    </w:p>
    <w:p w14:paraId="24D4AACA" w14:textId="77777777" w:rsidR="0008428F" w:rsidRPr="002770B9" w:rsidRDefault="002770B9" w:rsidP="007C4519">
      <w:pPr>
        <w:pStyle w:val="Heading1"/>
        <w:widowControl w:val="0"/>
        <w:numPr>
          <w:ilvl w:val="0"/>
          <w:numId w:val="36"/>
        </w:numPr>
        <w:tabs>
          <w:tab w:val="num" w:pos="540"/>
        </w:tabs>
        <w:ind w:left="357"/>
        <w:rPr>
          <w:rFonts w:eastAsia="SimSun"/>
          <w:b w:val="0"/>
          <w:bCs w:val="0"/>
          <w:lang w:val="de-DE"/>
        </w:rPr>
      </w:pPr>
      <w:r>
        <w:rPr>
          <w:rFonts w:eastAsia="Tahoma"/>
          <w:lang w:val="de-DE"/>
        </w:rPr>
        <w:t xml:space="preserve">VORABVERSIONSSOFTWARE. </w:t>
      </w:r>
      <w:r>
        <w:rPr>
          <w:rFonts w:eastAsia="Tahoma"/>
          <w:b w:val="0"/>
          <w:bCs w:val="0"/>
          <w:lang w:val="de-DE"/>
        </w:rPr>
        <w:t>Bei dieser Software handelt es sich um eine Vorabversion. Die Vorabversion funktioniert womöglich nicht ordnungsgemäß, oder ihre Funktionsweise kann sich von der endgültigen Version unterscheiden. Microsoft ist berechtigt, Änderungen an der endgültigen Version für den Handel vorzunehmen. Microsoft ist nicht verpflichtet, Ihnen Wartung, technischen Support oder Updates für die Software zu liefern.</w:t>
      </w:r>
    </w:p>
    <w:p w14:paraId="24D4AACB" w14:textId="77777777" w:rsidR="00C364C7" w:rsidRPr="002770B9" w:rsidRDefault="002770B9" w:rsidP="007C4519">
      <w:pPr>
        <w:pStyle w:val="Heading1"/>
        <w:widowControl w:val="0"/>
        <w:numPr>
          <w:ilvl w:val="0"/>
          <w:numId w:val="36"/>
        </w:numPr>
        <w:tabs>
          <w:tab w:val="num" w:pos="540"/>
        </w:tabs>
        <w:ind w:left="357"/>
        <w:rPr>
          <w:rFonts w:eastAsia="SimSun"/>
          <w:b w:val="0"/>
          <w:bCs w:val="0"/>
          <w:lang w:val="de-DE"/>
        </w:rPr>
      </w:pPr>
      <w:r>
        <w:rPr>
          <w:rFonts w:eastAsia="Tahoma"/>
          <w:lang w:val="de-DE"/>
        </w:rPr>
        <w:lastRenderedPageBreak/>
        <w:t xml:space="preserve">FEEDBACK.  </w:t>
      </w:r>
      <w:r>
        <w:rPr>
          <w:rFonts w:eastAsia="Tahoma"/>
          <w:b w:val="0"/>
          <w:bCs w:val="0"/>
          <w:lang w:val="de-DE"/>
        </w:rPr>
        <w:t>Wenn Sie Microsoft Feedback zur Software geben, berechtigen Sie Microsoft, Ihr Feedback zu verwenden, an Dritte weiterzugeben und für kommerzielle Zwecke und in jeglicher Weise und für jeglichen Zweck zu nutzen, ohne dafür Gebühren zu berechnen. Sie dürfen kein Feedback geben, das unter einen Lizenzvertrag fällt, der es erforderlich macht, dass Microsoft die eigene Software oder Dokumentation an Dritte lizenziert, weil wir Ihr Feedback einfließen lassen. Diese Rechte sind über die Laufzeit dieses Vertrags hinaus gültig.</w:t>
      </w:r>
    </w:p>
    <w:p w14:paraId="24D4AACC" w14:textId="77777777" w:rsidR="00D61D35" w:rsidRPr="008336F6" w:rsidRDefault="002770B9" w:rsidP="007C4519">
      <w:pPr>
        <w:pStyle w:val="Heading1"/>
        <w:numPr>
          <w:ilvl w:val="0"/>
          <w:numId w:val="36"/>
        </w:numPr>
        <w:ind w:left="360"/>
      </w:pPr>
      <w:r>
        <w:rPr>
          <w:rFonts w:eastAsia="Tahoma"/>
          <w:lang w:val="de-DE"/>
        </w:rPr>
        <w:t>BESTIMMUNGEN FÜR SPEZIFISCHE KOMPONENTEN.</w:t>
      </w:r>
    </w:p>
    <w:p w14:paraId="24D4AACD" w14:textId="77777777" w:rsidR="00D61D35" w:rsidRPr="002770B9" w:rsidRDefault="002770B9" w:rsidP="007C4519">
      <w:pPr>
        <w:pStyle w:val="Heading2"/>
        <w:numPr>
          <w:ilvl w:val="1"/>
          <w:numId w:val="36"/>
        </w:numPr>
        <w:ind w:left="720"/>
        <w:rPr>
          <w:lang w:val="de-DE"/>
        </w:rPr>
      </w:pPr>
      <w:r>
        <w:rPr>
          <w:rFonts w:eastAsia="Tahoma"/>
          <w:lang w:val="de-DE"/>
        </w:rPr>
        <w:t xml:space="preserve">Dienstprogramme. </w:t>
      </w:r>
      <w:r>
        <w:rPr>
          <w:rFonts w:eastAsia="Tahoma"/>
          <w:b w:val="0"/>
          <w:bCs w:val="0"/>
          <w:lang w:val="de-DE"/>
        </w:rPr>
        <w:t xml:space="preserve">Die Software enthält einige Artikel in der Liste der Dienstprogramme unter </w:t>
      </w:r>
      <w:r>
        <w:rPr>
          <w:rFonts w:eastAsia="Tahoma" w:cs="Times New Roman"/>
          <w:b w:val="0"/>
          <w:bCs w:val="0"/>
          <w:color w:val="0000FF"/>
          <w:u w:val="single"/>
          <w:lang w:val="de-DE"/>
        </w:rPr>
        <w:t>https://aka.ms/vs/16/utilities</w:t>
      </w:r>
      <w:r>
        <w:rPr>
          <w:rFonts w:eastAsia="Tahoma"/>
          <w:b w:val="0"/>
          <w:bCs w:val="0"/>
          <w:lang w:val="de-DE"/>
        </w:rPr>
        <w:t>. Sie sind berechtigt, diese Elemente auf Ihre Geräte zu kopieren und zu installieren, um Ihre mit der Software entwickelten Anwendungen und Datenbanken zu debuggen und bereitzustellen. Die Dienstprogramme sind für die vorübergehende Verwendung vorgesehen. Microsoft ist möglicherweise nicht in der Lage, Dienstprogramme separat vom Rest der Software zu patchen oder zu aktualisieren. Einige Dienstprogramme können es naturgemäß anderen ermöglichen, auf die Geräte zuzugreifen, auf denen die Dienstprogramme installiert sind. Nach der Fehlerbereinigung und Bereitstellung Ihrer Anwendungen und Datenbanken sollten Sie alle Dienstprogramme löschen, die Sie installiert haben. Microsoft ist nicht verantwortlich für die Verwendung oder den Zugriff Dritter auf Geräte, Anwendungen oder Datenbanken auf Geräten, auf denen Dienstprogramme installiert wurden.</w:t>
      </w:r>
    </w:p>
    <w:p w14:paraId="24D4AACE" w14:textId="77777777" w:rsidR="00D61D35" w:rsidRPr="002770B9" w:rsidRDefault="002770B9" w:rsidP="007C4519">
      <w:pPr>
        <w:pStyle w:val="Heading2"/>
        <w:widowControl w:val="0"/>
        <w:numPr>
          <w:ilvl w:val="1"/>
          <w:numId w:val="36"/>
        </w:numPr>
        <w:ind w:left="720"/>
        <w:rPr>
          <w:b w:val="0"/>
          <w:lang w:val="de-DE"/>
        </w:rPr>
      </w:pPr>
      <w:r w:rsidRPr="002770B9">
        <w:rPr>
          <w:rFonts w:eastAsia="Tahoma"/>
        </w:rPr>
        <w:t>Build Devices und Visual Studio Build Tools.</w:t>
      </w:r>
      <w:r w:rsidRPr="002770B9">
        <w:rPr>
          <w:rFonts w:eastAsia="Tahoma"/>
          <w:b w:val="0"/>
          <w:bCs w:val="0"/>
        </w:rPr>
        <w:t xml:space="preserve"> </w:t>
      </w:r>
      <w:r>
        <w:rPr>
          <w:rFonts w:eastAsia="Tahoma"/>
          <w:b w:val="0"/>
          <w:bCs w:val="0"/>
          <w:lang w:val="de-DE"/>
        </w:rPr>
        <w:t>Sie können Dateien von der Software oder von den Visual Studio Build Tools auf Ihre Build-Geräte kopieren und installieren, einschließlich physischer Geräte und virtueller Maschinen oder Container auf diesen Maschinen, ob lokale oder Remote-Maschinen, die Ihnen gehören, in Azure für Sie gehostet werden oder ausschließlich Ihnen zur Verwendung stehen (hier zusammenfasend „Build-Geräte“). Sie und andere Personen in Ihrem Unternehmen sind ausschließlich berechtigt, diese Dateien auf Ihren Build-Geräten zum Kompilieren, Erstellen und Überprüfen von Anwendungen zu verwenden, die unter Verwendung der Software entwickelt wurden, oder Qualitäts- oder Leistungstests in Bezug auf diese Anwendungen als Teil des Build-Prozesses auszuführen.</w:t>
      </w:r>
    </w:p>
    <w:p w14:paraId="24D4AACF" w14:textId="77777777" w:rsidR="00D61D35" w:rsidRPr="002770B9" w:rsidRDefault="002770B9" w:rsidP="007C4519">
      <w:pPr>
        <w:pStyle w:val="Heading2"/>
        <w:numPr>
          <w:ilvl w:val="1"/>
          <w:numId w:val="36"/>
        </w:numPr>
        <w:ind w:left="720"/>
        <w:rPr>
          <w:lang w:val="de-DE"/>
        </w:rPr>
      </w:pPr>
      <w:r>
        <w:rPr>
          <w:rFonts w:eastAsia="Tahoma"/>
          <w:lang w:val="de-DE"/>
        </w:rPr>
        <w:t xml:space="preserve">Schriftarten. </w:t>
      </w:r>
      <w:r>
        <w:rPr>
          <w:rFonts w:eastAsia="Tahoma"/>
          <w:b w:val="0"/>
          <w:bCs w:val="0"/>
          <w:lang w:val="de-DE"/>
        </w:rPr>
        <w:t>Bei laufender Software sind Sie berechtigt, mit deren Schriftarten Inhalt anzuzeigen und zu drucken. (i) in dem Ausmaß Schriftarten in Inhalte einzubetten, wie dies durch die Einbettungseinschränkungen in den Schriftarten gestattet ist, und (ii) diese vorübergehend auf einen Drucker oder ein anderes Ausgabegerät herunterzuladen, um das Ausdrucken von Inhalten zu unterstützen.</w:t>
      </w:r>
    </w:p>
    <w:p w14:paraId="24D4AAD0" w14:textId="77777777" w:rsidR="00D61D35" w:rsidRPr="00BE609E" w:rsidRDefault="002770B9" w:rsidP="007C4519">
      <w:pPr>
        <w:pStyle w:val="Heading2"/>
        <w:numPr>
          <w:ilvl w:val="1"/>
          <w:numId w:val="36"/>
        </w:numPr>
        <w:ind w:left="720"/>
      </w:pPr>
      <w:r>
        <w:rPr>
          <w:rFonts w:eastAsia="Tahoma"/>
          <w:lang w:val="de-DE"/>
        </w:rPr>
        <w:t xml:space="preserve">Lizenzen für andere Komponenten. </w:t>
      </w:r>
    </w:p>
    <w:p w14:paraId="24D4AAD1" w14:textId="77777777" w:rsidR="00D61D35" w:rsidRPr="002770B9" w:rsidRDefault="002770B9" w:rsidP="00D61D35">
      <w:pPr>
        <w:pStyle w:val="Bullet4"/>
        <w:rPr>
          <w:lang w:val="de-DE"/>
        </w:rPr>
      </w:pPr>
      <w:r w:rsidRPr="002770B9">
        <w:rPr>
          <w:rFonts w:eastAsia="Tahoma"/>
          <w:b/>
          <w:bCs/>
        </w:rPr>
        <w:t xml:space="preserve">Microsoft </w:t>
      </w:r>
      <w:proofErr w:type="spellStart"/>
      <w:r w:rsidRPr="002770B9">
        <w:rPr>
          <w:rFonts w:eastAsia="Tahoma"/>
          <w:b/>
          <w:bCs/>
        </w:rPr>
        <w:t>Plattformen</w:t>
      </w:r>
      <w:proofErr w:type="spellEnd"/>
      <w:r w:rsidRPr="002770B9">
        <w:rPr>
          <w:rFonts w:eastAsia="Tahoma"/>
          <w:b/>
          <w:bCs/>
        </w:rPr>
        <w:t xml:space="preserve">. </w:t>
      </w:r>
      <w:r w:rsidRPr="002770B9">
        <w:rPr>
          <w:rFonts w:eastAsia="Tahoma"/>
        </w:rPr>
        <w:t xml:space="preserve">Die Software </w:t>
      </w:r>
      <w:proofErr w:type="spellStart"/>
      <w:r w:rsidRPr="002770B9">
        <w:rPr>
          <w:rFonts w:eastAsia="Tahoma"/>
        </w:rPr>
        <w:t>kann</w:t>
      </w:r>
      <w:proofErr w:type="spellEnd"/>
      <w:r w:rsidRPr="002770B9">
        <w:rPr>
          <w:rFonts w:eastAsia="Tahoma"/>
        </w:rPr>
        <w:t xml:space="preserve"> </w:t>
      </w:r>
      <w:proofErr w:type="spellStart"/>
      <w:r w:rsidRPr="002770B9">
        <w:rPr>
          <w:rFonts w:eastAsia="Tahoma"/>
        </w:rPr>
        <w:t>Komponenten</w:t>
      </w:r>
      <w:proofErr w:type="spellEnd"/>
      <w:r w:rsidRPr="002770B9">
        <w:rPr>
          <w:rFonts w:eastAsia="Tahoma"/>
        </w:rPr>
        <w:t xml:space="preserve"> </w:t>
      </w:r>
      <w:proofErr w:type="spellStart"/>
      <w:r w:rsidRPr="002770B9">
        <w:rPr>
          <w:rFonts w:eastAsia="Tahoma"/>
        </w:rPr>
        <w:t>aus</w:t>
      </w:r>
      <w:proofErr w:type="spellEnd"/>
      <w:r w:rsidRPr="002770B9">
        <w:rPr>
          <w:rFonts w:eastAsia="Tahoma"/>
        </w:rPr>
        <w:t xml:space="preserve"> Microsoft Windows, Microsoft Windows Server, Microsoft SQL Server, Microsoft Exchange, Microsoft Office </w:t>
      </w:r>
      <w:proofErr w:type="spellStart"/>
      <w:r w:rsidRPr="002770B9">
        <w:rPr>
          <w:rFonts w:eastAsia="Tahoma"/>
        </w:rPr>
        <w:t>oder</w:t>
      </w:r>
      <w:proofErr w:type="spellEnd"/>
      <w:r w:rsidRPr="002770B9">
        <w:rPr>
          <w:rFonts w:eastAsia="Tahoma"/>
        </w:rPr>
        <w:t xml:space="preserve"> Microsoft </w:t>
      </w:r>
      <w:proofErr w:type="spellStart"/>
      <w:r w:rsidRPr="002770B9">
        <w:rPr>
          <w:rFonts w:eastAsia="Tahoma"/>
        </w:rPr>
        <w:t>Sharepoint</w:t>
      </w:r>
      <w:proofErr w:type="spellEnd"/>
      <w:r w:rsidRPr="002770B9">
        <w:rPr>
          <w:rFonts w:eastAsia="Tahoma"/>
        </w:rPr>
        <w:t xml:space="preserve"> </w:t>
      </w:r>
      <w:proofErr w:type="spellStart"/>
      <w:r w:rsidRPr="002770B9">
        <w:rPr>
          <w:rFonts w:eastAsia="Tahoma"/>
        </w:rPr>
        <w:t>enthalten</w:t>
      </w:r>
      <w:proofErr w:type="spellEnd"/>
      <w:r w:rsidRPr="002770B9">
        <w:rPr>
          <w:rFonts w:eastAsia="Tahoma"/>
        </w:rPr>
        <w:t xml:space="preserve">. </w:t>
      </w:r>
      <w:r>
        <w:rPr>
          <w:rFonts w:eastAsia="Tahoma"/>
          <w:lang w:val="de-DE"/>
        </w:rPr>
        <w:t xml:space="preserve">Diese Komponenten werden durch gesonderte Verträge und deren eigene Produktsupportrichtlinien geregelt, wie im die Software begleitenden Microsoft-„Lizenzen“-Ordner beschrieben, mit der Ausnahme, dass wenn getrennte Lizenzbestimmungen für solche Komponenten auch in dem zugehörigen Installationsverzeichnis enthalten sind, diese Lizenzbestimmungen den Ausschlag geben. </w:t>
      </w:r>
    </w:p>
    <w:p w14:paraId="24D4AAD2" w14:textId="77777777" w:rsidR="00B43AB6" w:rsidRPr="002770B9" w:rsidRDefault="002770B9" w:rsidP="00D90F19">
      <w:pPr>
        <w:pStyle w:val="Bullet4"/>
        <w:rPr>
          <w:lang w:val="de-DE"/>
        </w:rPr>
      </w:pPr>
      <w:r>
        <w:rPr>
          <w:rFonts w:eastAsia="Tahoma"/>
          <w:b/>
          <w:bCs/>
          <w:lang w:val="de-DE"/>
        </w:rPr>
        <w:t>Komponenten von Dritten</w:t>
      </w:r>
      <w:r>
        <w:rPr>
          <w:rFonts w:eastAsia="Tahoma"/>
          <w:lang w:val="de-DE"/>
        </w:rPr>
        <w:t xml:space="preserve">.Diese Software kann Komponenten Dritter enthalten, die gesonderten rechtlichen Anmerkungen oder anderen Verträgen unterliegen, wie in den der Software beiliegenden ThirdPartyNotices-Dateien ggf. beschrieben ist. </w:t>
      </w:r>
    </w:p>
    <w:p w14:paraId="24D4AAD3" w14:textId="77777777" w:rsidR="00D61D35" w:rsidRPr="00BE609E" w:rsidRDefault="002770B9" w:rsidP="00BB2080">
      <w:pPr>
        <w:pStyle w:val="Heading2"/>
        <w:numPr>
          <w:ilvl w:val="1"/>
          <w:numId w:val="36"/>
        </w:numPr>
        <w:ind w:left="720"/>
      </w:pPr>
      <w:r>
        <w:rPr>
          <w:rFonts w:eastAsia="Tahoma"/>
          <w:lang w:val="de-DE"/>
        </w:rPr>
        <w:t>Paket-Manager.</w:t>
      </w:r>
      <w:r>
        <w:rPr>
          <w:rFonts w:eastAsia="Tahoma"/>
          <w:b w:val="0"/>
          <w:bCs w:val="0"/>
          <w:lang w:val="de-DE"/>
        </w:rPr>
        <w:t xml:space="preserve"> Die Software enthält Paket-Manager wie NuGet, die es Ihnen erlauben, andere Softwarepakete von Microsoft und Dritten zur Nutzung mit Ihren Anwendungen herunterzuladen. Diese Pakete unterliegen ihren eigenen Lizenzen und nicht diesen Lizenzbestimmungen. Microsoft übernimmt weder Vertrieb, Lizenzierung oder Gewährleistungen für Drittanbieterpakete.</w:t>
      </w:r>
    </w:p>
    <w:p w14:paraId="24D4AAD4" w14:textId="77777777" w:rsidR="00D61D35" w:rsidRPr="002770B9" w:rsidRDefault="002770B9" w:rsidP="00BB2080">
      <w:pPr>
        <w:pStyle w:val="Heading1"/>
        <w:numPr>
          <w:ilvl w:val="0"/>
          <w:numId w:val="36"/>
        </w:numPr>
        <w:ind w:left="360"/>
        <w:rPr>
          <w:lang w:val="de-DE"/>
        </w:rPr>
      </w:pPr>
      <w:r>
        <w:rPr>
          <w:rFonts w:eastAsia="Tahoma"/>
          <w:lang w:val="de-DE"/>
        </w:rPr>
        <w:t>VERTREIBBARER</w:t>
      </w:r>
      <w:r>
        <w:rPr>
          <w:rFonts w:eastAsia="Tahoma"/>
          <w:b w:val="0"/>
          <w:bCs w:val="0"/>
          <w:lang w:val="de-DE"/>
        </w:rPr>
        <w:t xml:space="preserve"> CODE. Die Software enthält Code, den Sie wie in diesem Abschnitt beschrieben in von Ihnen entwickelten Anwendungen vertreiben dürfen. Für diesen Abschnitt 6 bedeutet der Begriff „Vertrieb“ auch die Bereitstellung Ihrer Anwendungen für den Zugriff durch Dritte über das Internet.</w:t>
      </w:r>
    </w:p>
    <w:p w14:paraId="24D4AAD5" w14:textId="77777777" w:rsidR="00D61D35" w:rsidRPr="002770B9" w:rsidRDefault="002770B9" w:rsidP="00BB2080">
      <w:pPr>
        <w:pStyle w:val="Heading2"/>
        <w:numPr>
          <w:ilvl w:val="1"/>
          <w:numId w:val="36"/>
        </w:numPr>
        <w:ind w:left="720"/>
        <w:rPr>
          <w:lang w:val="de-DE"/>
        </w:rPr>
      </w:pPr>
      <w:r>
        <w:rPr>
          <w:rFonts w:eastAsia="Tahoma"/>
          <w:lang w:val="de-DE"/>
        </w:rPr>
        <w:t>Recht zur Nutzung und zum Vertrieb.</w:t>
      </w:r>
      <w:r>
        <w:rPr>
          <w:rFonts w:eastAsia="Tahoma"/>
          <w:b w:val="0"/>
          <w:bCs w:val="0"/>
          <w:lang w:val="de-DE"/>
        </w:rPr>
        <w:t xml:space="preserve"> Bei dem nachfolgend aufgelisteten Code und den nachfolgend sonstigen Dateien handelt es sich um „Vertreibbaren Code“.</w:t>
      </w:r>
    </w:p>
    <w:p w14:paraId="24D4AAD6" w14:textId="77777777" w:rsidR="00D61D35" w:rsidRPr="002770B9" w:rsidRDefault="002770B9" w:rsidP="00D61D35">
      <w:pPr>
        <w:pStyle w:val="Bullet4"/>
        <w:rPr>
          <w:lang w:val="de-DE"/>
        </w:rPr>
      </w:pPr>
      <w:r>
        <w:rPr>
          <w:rFonts w:eastAsia="Tahoma"/>
          <w:b/>
          <w:bCs/>
          <w:lang w:val="de-DE"/>
        </w:rPr>
        <w:lastRenderedPageBreak/>
        <w:t>Verteilerliste</w:t>
      </w:r>
      <w:r>
        <w:rPr>
          <w:rFonts w:eastAsia="Tahoma"/>
          <w:lang w:val="de-DE"/>
        </w:rPr>
        <w:t xml:space="preserve">. Sie sind berechtigt, die Objektcodeform des in der Verteilerliste aufgelisteten Codes zu kopieren und zu vertreiben. Diese Liste finden Sie unter </w:t>
      </w:r>
      <w:r>
        <w:rPr>
          <w:rFonts w:eastAsia="Tahoma" w:cs="Times New Roman"/>
          <w:color w:val="0000FF"/>
          <w:u w:val="single"/>
          <w:lang w:val="de-DE"/>
        </w:rPr>
        <w:t>https://aka.ms/vs/16/redistribution.</w:t>
      </w:r>
    </w:p>
    <w:p w14:paraId="24D4AAD7" w14:textId="77777777" w:rsidR="00D61D35" w:rsidRPr="002770B9" w:rsidRDefault="002770B9" w:rsidP="00D61D35">
      <w:pPr>
        <w:pStyle w:val="Bullet4"/>
        <w:rPr>
          <w:lang w:val="de-DE"/>
        </w:rPr>
      </w:pPr>
      <w:r>
        <w:rPr>
          <w:rFonts w:eastAsia="Tahoma"/>
          <w:b/>
          <w:bCs/>
          <w:lang w:val="de-DE"/>
        </w:rPr>
        <w:t>Beispielcode, Vorlagen und Stile</w:t>
      </w:r>
      <w:r>
        <w:rPr>
          <w:rFonts w:eastAsia="Tahoma"/>
          <w:lang w:val="de-DE"/>
        </w:rPr>
        <w:t>. Sie sind berechtigt, das Quell- und Objektcodeformat von Code zu kopieren, zu ändern und zu verbreiten, der als „Beispiel“, „Vorlage“, „einfache Stile“ und „Skizzenstile“ gekennzeichnet ist.</w:t>
      </w:r>
    </w:p>
    <w:p w14:paraId="24D4AAD8" w14:textId="77777777" w:rsidR="00D61D35" w:rsidRPr="002770B9" w:rsidRDefault="002770B9" w:rsidP="00D61D35">
      <w:pPr>
        <w:pStyle w:val="Bullet4"/>
        <w:rPr>
          <w:lang w:val="de-DE"/>
        </w:rPr>
      </w:pPr>
      <w:r>
        <w:rPr>
          <w:rFonts w:eastAsia="Tahoma"/>
          <w:b/>
          <w:bCs/>
          <w:lang w:val="de-DE"/>
        </w:rPr>
        <w:t>Vertrieb durch Dritte.</w:t>
      </w:r>
      <w:r>
        <w:rPr>
          <w:rFonts w:eastAsia="Tahoma"/>
          <w:lang w:val="de-DE"/>
        </w:rPr>
        <w:t xml:space="preserve"> Sie sind berechtigt, Distributoren Ihrer Anwendungen zu erlauben, den vertreibbaren Code als Teil dieser Anwendungen zu kopieren und zu vertreiben.</w:t>
      </w:r>
    </w:p>
    <w:p w14:paraId="24D4AAD9" w14:textId="77777777" w:rsidR="00D61D35" w:rsidRPr="002770B9" w:rsidRDefault="002770B9" w:rsidP="00BB2080">
      <w:pPr>
        <w:pStyle w:val="Heading2"/>
        <w:numPr>
          <w:ilvl w:val="1"/>
          <w:numId w:val="36"/>
        </w:numPr>
        <w:ind w:left="720"/>
        <w:rPr>
          <w:lang w:val="de-DE"/>
        </w:rPr>
      </w:pPr>
      <w:r>
        <w:rPr>
          <w:rFonts w:eastAsia="Tahoma"/>
          <w:lang w:val="de-DE"/>
        </w:rPr>
        <w:t xml:space="preserve">Vertriebsbedingungen. </w:t>
      </w:r>
      <w:r>
        <w:rPr>
          <w:rFonts w:eastAsia="Tahoma"/>
          <w:b w:val="0"/>
          <w:bCs w:val="0"/>
          <w:lang w:val="de-DE"/>
        </w:rPr>
        <w:t>Für Vertreibbaren Code, den Sie vertreiben, sind Sie verpflichtet:</w:t>
      </w:r>
    </w:p>
    <w:p w14:paraId="24D4AADA" w14:textId="77777777" w:rsidR="00D61D35" w:rsidRPr="002770B9" w:rsidRDefault="002770B9" w:rsidP="00D61D35">
      <w:pPr>
        <w:pStyle w:val="Bullet4"/>
        <w:rPr>
          <w:lang w:val="de-DE"/>
        </w:rPr>
      </w:pPr>
      <w:r>
        <w:rPr>
          <w:rFonts w:eastAsia="Tahoma"/>
          <w:lang w:val="de-DE"/>
        </w:rPr>
        <w:t>diesem in Ihren Anwendungen wesentliche primäre Funktionalität hinzuzufügen, und</w:t>
      </w:r>
    </w:p>
    <w:p w14:paraId="24D4AADB" w14:textId="77777777" w:rsidR="00A763C3" w:rsidRPr="002770B9" w:rsidRDefault="002770B9" w:rsidP="00D61D35">
      <w:pPr>
        <w:pStyle w:val="Bullet4"/>
        <w:rPr>
          <w:lang w:val="de-DE"/>
        </w:rPr>
      </w:pPr>
      <w:r>
        <w:rPr>
          <w:rFonts w:eastAsia="Tahoma"/>
          <w:lang w:val="de-DE"/>
        </w:rPr>
        <w:t>von Distributoren und externen Endbenutzern die Zustimmung zu Bestimmungen zu verlangen, die einen mindestens gleichwertigen Schutz für den Vertreibbaren Code bieten wie dieser Vertrag; und</w:t>
      </w:r>
    </w:p>
    <w:p w14:paraId="24D4AADC" w14:textId="77777777" w:rsidR="00A763C3" w:rsidRPr="002770B9" w:rsidRDefault="002770B9" w:rsidP="00A763C3">
      <w:pPr>
        <w:pStyle w:val="Bullet4"/>
        <w:rPr>
          <w:lang w:val="de-DE"/>
        </w:rPr>
      </w:pPr>
      <w:r>
        <w:rPr>
          <w:rFonts w:eastAsia="Tahoma"/>
          <w:lang w:val="de-DE"/>
        </w:rPr>
        <w:t>Microsoft von allen Ansprüchen freizustellen und gegen alle Ansprüche zu verteidigen, einschließlich Anwaltsgebühren, die mit dem Vertrieb oder der Verwendung Ihrer Anwendungen zusammenhängen, außer insoweit Ansprüche ausschließlich auf dem Vertreibbaren Code beruhen.</w:t>
      </w:r>
    </w:p>
    <w:p w14:paraId="24D4AADD" w14:textId="77777777" w:rsidR="00D61D35" w:rsidRPr="002770B9" w:rsidRDefault="002770B9" w:rsidP="00BB2080">
      <w:pPr>
        <w:pStyle w:val="Heading2"/>
        <w:numPr>
          <w:ilvl w:val="1"/>
          <w:numId w:val="36"/>
        </w:numPr>
        <w:ind w:left="720"/>
        <w:rPr>
          <w:lang w:val="de-DE"/>
        </w:rPr>
      </w:pPr>
      <w:r>
        <w:rPr>
          <w:rFonts w:eastAsia="Tahoma"/>
          <w:lang w:val="de-DE"/>
        </w:rPr>
        <w:t>Vertriebsbeschränkungen.</w:t>
      </w:r>
      <w:r>
        <w:rPr>
          <w:rFonts w:eastAsia="Tahoma"/>
          <w:b w:val="0"/>
          <w:bCs w:val="0"/>
          <w:lang w:val="de-DE"/>
        </w:rPr>
        <w:t xml:space="preserve"> Sie sind nicht dazu berechtigt,</w:t>
      </w:r>
    </w:p>
    <w:p w14:paraId="24D4AADE" w14:textId="77777777" w:rsidR="00D61D35" w:rsidRPr="002770B9" w:rsidRDefault="002770B9" w:rsidP="00D61D35">
      <w:pPr>
        <w:pStyle w:val="Bullet4"/>
        <w:rPr>
          <w:lang w:val="de-DE"/>
        </w:rPr>
      </w:pPr>
      <w:r>
        <w:rPr>
          <w:rFonts w:eastAsia="Tahoma"/>
          <w:lang w:val="de-DE"/>
        </w:rPr>
        <w:t>die Marken von Microsoft in den Namen Ihrer Anwendungen oder auf eine Weise zu verwenden, die nahelegt, dass Ihre Anwendungen von Microsoft stammen oder von Microsoft empfohlen werden, oder</w:t>
      </w:r>
    </w:p>
    <w:p w14:paraId="24D4AADF" w14:textId="77777777" w:rsidR="00D61D35" w:rsidRPr="002770B9" w:rsidRDefault="002770B9" w:rsidP="00D61D35">
      <w:pPr>
        <w:pStyle w:val="Bullet4"/>
        <w:rPr>
          <w:lang w:val="de-DE"/>
        </w:rPr>
      </w:pPr>
      <w:r>
        <w:rPr>
          <w:rFonts w:eastAsia="Tahoma"/>
          <w:lang w:val="de-DE"/>
        </w:rPr>
        <w:t>den Quellcode von vertreibbarem Code so zu ändern oder zu vertreiben, dass irgendein Teil von ihm einer ausgeschlossenen Lizenz unterliegt. Eine „Ausgeklammerte Lizenz" ist eine solche, die als Bedingung für Nutzung, Änderung oder Verteilung des Codes erfordert, dass (a) sie in Quellcodeform offengelegt oder verteilt wird oder (b) andere das Recht haben, sie zu ändern.</w:t>
      </w:r>
    </w:p>
    <w:p w14:paraId="24D4AAE0" w14:textId="77777777" w:rsidR="00FD5289" w:rsidRPr="00865172" w:rsidRDefault="002770B9" w:rsidP="00BB2080">
      <w:pPr>
        <w:pStyle w:val="Heading1"/>
        <w:numPr>
          <w:ilvl w:val="0"/>
          <w:numId w:val="36"/>
        </w:numPr>
        <w:ind w:left="360"/>
        <w:rPr>
          <w:rFonts w:eastAsia="SimSun"/>
        </w:rPr>
      </w:pPr>
      <w:r>
        <w:rPr>
          <w:rFonts w:eastAsia="Tahoma"/>
          <w:lang w:val="de-DE"/>
        </w:rPr>
        <w:t>ENTWICKLUNG VON ERWEITERUNGEN.</w:t>
      </w:r>
    </w:p>
    <w:p w14:paraId="24D4AAE1" w14:textId="77777777" w:rsidR="00FD5289" w:rsidRPr="002770B9" w:rsidRDefault="002770B9" w:rsidP="00BB2080">
      <w:pPr>
        <w:pStyle w:val="Heading2"/>
        <w:numPr>
          <w:ilvl w:val="1"/>
          <w:numId w:val="36"/>
        </w:numPr>
        <w:tabs>
          <w:tab w:val="num" w:pos="7923"/>
        </w:tabs>
        <w:ind w:left="720"/>
        <w:rPr>
          <w:rFonts w:eastAsia="SimSun"/>
          <w:b w:val="0"/>
          <w:lang w:val="de-DE"/>
        </w:rPr>
      </w:pPr>
      <w:r>
        <w:rPr>
          <w:rFonts w:eastAsia="Tahoma"/>
          <w:lang w:val="de-DE"/>
        </w:rPr>
        <w:t xml:space="preserve">Beschränkungen für Erweiterungen. </w:t>
      </w:r>
      <w:r>
        <w:rPr>
          <w:rFonts w:eastAsia="Tahoma"/>
          <w:b w:val="0"/>
          <w:bCs w:val="0"/>
          <w:lang w:val="de-DE"/>
        </w:rPr>
        <w:t>Sie sind nicht berechtigt, Erweiterungen für die Software (oder sonstige Komponenten der Visual Studio-Produktfamilie) zu entwickeln, die technische Beschränkungen umgehen, die in die Software implementiert wurden, oder andere in die Lage versetzen, diese zu entwickeln. Wenn Microsoft die Erweiterbarkeit der Software technisch beschränkt oder deaktiviert, sind Sie nicht berechtigt, die Software zu erweitern, unter anderem durch Laden oder Einfügen von nicht von Microsoft stammenden Add-Ins, Makros oder Paketen in die Software, Ändern der Registrierungseinstellungen der Software oder Hinzufügen von Features oder Funktionen, die der Visual Studio-Produktfamilie zu findenden Features oder Funktionen entsprechen.</w:t>
      </w:r>
    </w:p>
    <w:p w14:paraId="24D4AAE2" w14:textId="77777777" w:rsidR="00DA6DBF" w:rsidRPr="002770B9" w:rsidRDefault="002770B9" w:rsidP="00BB2080">
      <w:pPr>
        <w:pStyle w:val="Heading2"/>
        <w:numPr>
          <w:ilvl w:val="1"/>
          <w:numId w:val="36"/>
        </w:numPr>
        <w:tabs>
          <w:tab w:val="num" w:pos="7923"/>
        </w:tabs>
        <w:ind w:left="720"/>
        <w:rPr>
          <w:b w:val="0"/>
          <w:lang w:val="de-DE"/>
        </w:rPr>
      </w:pPr>
      <w:r>
        <w:rPr>
          <w:rFonts w:eastAsia="Tahoma"/>
          <w:lang w:val="de-DE"/>
        </w:rPr>
        <w:t>Keine Leistungsminderung der Software</w:t>
      </w:r>
      <w:r>
        <w:rPr>
          <w:rFonts w:eastAsia="Tahoma"/>
          <w:b w:val="0"/>
          <w:bCs w:val="0"/>
          <w:lang w:val="de-DE"/>
        </w:rPr>
        <w:t>. Wenn Sie eine Erweiterung für die Software (oder andere Komponenten der Visual Studio-Produktfamilie) entwickeln, müssen Sie die Installation, die Deinstallation und den Betrieb Ihrer Erweiterung testen, um sicherzustellen, dass diese Prozesse keine Features deaktivieren oder die Funktionalität der Software (oder der betreffenden Komponente) oder einer früheren Version oder Edition davon beeinträchtigen.</w:t>
      </w:r>
    </w:p>
    <w:p w14:paraId="24D4AAE3" w14:textId="77777777" w:rsidR="00215B75" w:rsidRPr="002770B9" w:rsidRDefault="002770B9" w:rsidP="00BB2080">
      <w:pPr>
        <w:pStyle w:val="Heading1"/>
        <w:numPr>
          <w:ilvl w:val="0"/>
          <w:numId w:val="36"/>
        </w:numPr>
        <w:ind w:left="360"/>
        <w:rPr>
          <w:b w:val="0"/>
          <w:lang w:val="de-DE"/>
        </w:rPr>
      </w:pPr>
      <w:r>
        <w:rPr>
          <w:rFonts w:eastAsia="Tahoma"/>
          <w:lang w:val="de-DE"/>
        </w:rPr>
        <w:t>AKTUALISIERUNGEN.</w:t>
      </w:r>
      <w:r>
        <w:rPr>
          <w:rFonts w:eastAsia="Tahoma"/>
          <w:b w:val="0"/>
          <w:bCs w:val="0"/>
          <w:lang w:val="de-DE"/>
        </w:rPr>
        <w:t xml:space="preserve"> Wenn Microsoft Bugfixes, Sicherheitsfixes oder andere Fehlerkorrekturen an der Software vornimmt, erklären Sie sich damit einverstanden, wirtschaftlich angemessene Anstrengungen zu unternehmen, um sie zum Zweck des Aktualisierens der Software zu installieren.</w:t>
      </w:r>
    </w:p>
    <w:p w14:paraId="24D4AAE4" w14:textId="77777777" w:rsidR="006D2825" w:rsidRPr="006D2825" w:rsidRDefault="002770B9" w:rsidP="00BB2080">
      <w:pPr>
        <w:pStyle w:val="Heading1"/>
        <w:numPr>
          <w:ilvl w:val="0"/>
          <w:numId w:val="36"/>
        </w:numPr>
        <w:ind w:left="360"/>
        <w:rPr>
          <w:b w:val="0"/>
        </w:rPr>
      </w:pPr>
      <w:r>
        <w:rPr>
          <w:rFonts w:eastAsia="Tahoma"/>
          <w:lang w:val="de-DE"/>
        </w:rPr>
        <w:t xml:space="preserve">DATEN. </w:t>
      </w:r>
    </w:p>
    <w:p w14:paraId="24D4AAE5" w14:textId="77777777" w:rsidR="003435BC" w:rsidRPr="002770B9" w:rsidRDefault="002770B9" w:rsidP="00BB2080">
      <w:pPr>
        <w:pStyle w:val="Heading2"/>
        <w:numPr>
          <w:ilvl w:val="1"/>
          <w:numId w:val="36"/>
        </w:numPr>
        <w:ind w:left="720"/>
        <w:rPr>
          <w:b w:val="0"/>
          <w:lang w:val="de-DE"/>
        </w:rPr>
      </w:pPr>
      <w:r>
        <w:rPr>
          <w:rFonts w:eastAsia="Tahoma"/>
          <w:lang w:val="de-DE"/>
        </w:rPr>
        <w:t>Datenerfassung.</w:t>
      </w:r>
      <w:r>
        <w:rPr>
          <w:rFonts w:eastAsia="Tahoma"/>
          <w:b w:val="0"/>
          <w:bCs w:val="0"/>
          <w:lang w:val="de-DE"/>
        </w:rPr>
        <w:t xml:space="preserve">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Softwaredokumentation beschrieben. Außerdem enthält die Software einige Features, mit denen Sie und Microsoft möglicherweise Daten von Nutzern Ihrer Anwendungen erheben können. Wenn Sie diese Funktionen nutzen, müssen Sie die geltenden </w:t>
      </w:r>
      <w:r>
        <w:rPr>
          <w:rFonts w:eastAsia="Tahoma"/>
          <w:b w:val="0"/>
          <w:bCs w:val="0"/>
          <w:lang w:val="de-DE"/>
        </w:rPr>
        <w:lastRenderedPageBreak/>
        <w:t xml:space="preserve">Gesetze einhalten, einschließlich der Bereitstellung entsprechender Hinweise für Nutzer Ihrer Anwendungen zusammen mit einer Kopie der Datenschutzerklärung von Microsoft. Unsere Datenschutzerklärung befindet sich unter: </w:t>
      </w:r>
      <w:hyperlink r:id="rId7" w:history="1">
        <w:r>
          <w:rPr>
            <w:rFonts w:eastAsia="Tahoma"/>
            <w:b w:val="0"/>
            <w:bCs w:val="0"/>
            <w:color w:val="0000FF"/>
            <w:u w:val="single"/>
            <w:lang w:val="de-DE"/>
          </w:rPr>
          <w:t>https://go.microsoft.com/fwlink/?LinkID=824704</w:t>
        </w:r>
      </w:hyperlink>
      <w:r>
        <w:rPr>
          <w:rFonts w:eastAsia="Tahoma" w:cs="Times New Roman"/>
          <w:b w:val="0"/>
          <w:bCs w:val="0"/>
          <w:lang w:val="de-DE"/>
        </w:rPr>
        <w:t>.</w:t>
      </w:r>
      <w:r>
        <w:rPr>
          <w:rFonts w:eastAsia="Tahoma"/>
          <w:b w:val="0"/>
          <w:bCs w:val="0"/>
          <w:lang w:val="de-DE"/>
        </w:rPr>
        <w:t xml:space="preserve"> Mehr über Datensammlung und deren Nutzung können Sie in der Softwaredokumentation und in unserer Datenschutzerklärung erfahren. Durch die Nutzung der Software erklären Sie sich mit diesen Praktiken einverstanden.</w:t>
      </w:r>
    </w:p>
    <w:p w14:paraId="24D4AAE6" w14:textId="129DA71E" w:rsidR="00CA6AB7" w:rsidRPr="006D2825" w:rsidRDefault="002770B9" w:rsidP="00BB2080">
      <w:pPr>
        <w:pStyle w:val="Heading2"/>
        <w:numPr>
          <w:ilvl w:val="1"/>
          <w:numId w:val="36"/>
        </w:numPr>
        <w:ind w:left="720"/>
        <w:rPr>
          <w:b w:val="0"/>
        </w:rPr>
      </w:pPr>
      <w:r>
        <w:rPr>
          <w:rFonts w:eastAsia="Tahoma"/>
          <w:lang w:val="de-DE"/>
        </w:rPr>
        <w:t>Verarbeitung personenbezogener Daten.</w:t>
      </w:r>
      <w:r>
        <w:rPr>
          <w:rFonts w:eastAsia="Tahoma"/>
          <w:b w:val="0"/>
          <w:bCs w:val="0"/>
          <w:lang w:val="de-DE"/>
        </w:rPr>
        <w:t xml:space="preserve"> </w:t>
      </w:r>
      <w:r>
        <w:rPr>
          <w:rFonts w:eastAsia="Tahoma"/>
          <w:b w:val="0"/>
          <w:bCs w:val="0"/>
          <w:sz w:val="20"/>
          <w:szCs w:val="20"/>
          <w:lang w:val="de-DE"/>
        </w:rPr>
        <w:t>Soweit Microsoft im Zusammenhang mit der Software als Auftragsverarbeiter oder Unterauftragsverarbeiter von personenbezogenen Daten auftritt, geht Microsoft zum 25. Mai 2018 allen Kunden gegenüber die Verpflichtungen gemäß den in den Onlinediensten enthaltenen Bestimmungen der Datenschutz-Grundverordnung der Europäischen Union ein. Siehe auch unter:</w:t>
      </w:r>
      <w:r w:rsidR="009D1C10" w:rsidRPr="009D1C10">
        <w:rPr>
          <w:rFonts w:eastAsia="SimSun"/>
          <w:b w:val="0"/>
          <w:szCs w:val="20"/>
        </w:rPr>
        <w:t xml:space="preserve"> </w:t>
      </w:r>
      <w:hyperlink r:id="rId8" w:history="1">
        <w:r w:rsidR="009D1C10" w:rsidRPr="006B6D3F">
          <w:rPr>
            <w:rStyle w:val="Hyperlink"/>
            <w:rFonts w:eastAsia="SimSun" w:cs="Tahoma"/>
            <w:b w:val="0"/>
            <w:szCs w:val="20"/>
          </w:rPr>
          <w:t>https://docs.microsoft.com/en-us/legal/gdpr</w:t>
        </w:r>
      </w:hyperlink>
      <w:r>
        <w:rPr>
          <w:rFonts w:eastAsia="Tahoma"/>
          <w:b w:val="0"/>
          <w:bCs w:val="0"/>
          <w:sz w:val="20"/>
          <w:szCs w:val="20"/>
          <w:lang w:val="de-DE"/>
        </w:rPr>
        <w:t>.</w:t>
      </w:r>
    </w:p>
    <w:p w14:paraId="24D4AAE7" w14:textId="77777777" w:rsidR="00D61D35" w:rsidRPr="00BE609E" w:rsidRDefault="002770B9" w:rsidP="004D429F">
      <w:pPr>
        <w:pStyle w:val="Heading1"/>
        <w:numPr>
          <w:ilvl w:val="0"/>
          <w:numId w:val="36"/>
        </w:numPr>
        <w:ind w:left="360"/>
      </w:pPr>
      <w:r>
        <w:rPr>
          <w:rFonts w:eastAsia="Tahoma"/>
          <w:lang w:val="de-DE"/>
        </w:rPr>
        <w:t>LIZENZUMFANG.</w:t>
      </w:r>
      <w:r>
        <w:rPr>
          <w:rFonts w:eastAsia="Tahoma"/>
          <w:b w:val="0"/>
          <w:bCs w:val="0"/>
          <w:lang w:val="de-DE"/>
        </w:rPr>
        <w:t>Die Software wird lizenziert, nicht verkauft. Diese Lizenzbestimmungen gewähren Ihnen nur eingeschränkte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24D4AAE8" w14:textId="77777777" w:rsidR="00D61D35" w:rsidRPr="002770B9" w:rsidRDefault="002770B9" w:rsidP="00D61D35">
      <w:pPr>
        <w:pStyle w:val="Bullet4"/>
        <w:rPr>
          <w:lang w:val="de-DE"/>
        </w:rPr>
      </w:pPr>
      <w:r>
        <w:rPr>
          <w:rFonts w:eastAsia="Tahoma"/>
          <w:lang w:val="de-DE"/>
        </w:rPr>
        <w:t>technische Beschränkungen der Software umgehen;</w:t>
      </w:r>
    </w:p>
    <w:p w14:paraId="24D4AAE9" w14:textId="77777777" w:rsidR="00D61D35" w:rsidRPr="002770B9" w:rsidRDefault="002770B9" w:rsidP="00D61D35">
      <w:pPr>
        <w:pStyle w:val="Bullet4"/>
        <w:rPr>
          <w:rFonts w:eastAsia="SimSun"/>
          <w:lang w:val="de-DE"/>
        </w:rPr>
      </w:pPr>
      <w:r>
        <w:rPr>
          <w:rFonts w:eastAsia="Tahoma"/>
          <w:lang w:val="de-DE"/>
        </w:rPr>
        <w:t>die Software zurückzuentwickeln, zu dekompilieren oder zu disassemblieren oder anderweitig zu versuchen, den Quellcode für die Software abzuleiten, ausgenommen und in dem Maße, wie dies in Lizenzierungsbedingungen für Dritte vorgesehen ist, die die Verwendung bestimmter Open-Source-Komponenten regeln, die in der Software enthalten sein können;</w:t>
      </w:r>
    </w:p>
    <w:p w14:paraId="24D4AAEA" w14:textId="77777777" w:rsidR="00D61D35" w:rsidRPr="002770B9" w:rsidRDefault="002770B9" w:rsidP="00D61D35">
      <w:pPr>
        <w:pStyle w:val="Bullet4"/>
        <w:rPr>
          <w:lang w:val="de-DE"/>
        </w:rPr>
      </w:pPr>
      <w:r>
        <w:rPr>
          <w:rFonts w:eastAsia="Tahoma"/>
          <w:lang w:val="de-DE"/>
        </w:rPr>
        <w:t>Mitteilungen der Firma Microsoft oder ihrer Lieferanten in der Software zu entfernen, zu minimieren, zu blockieren oder zu verändern,</w:t>
      </w:r>
    </w:p>
    <w:p w14:paraId="24D4AAEB" w14:textId="77777777" w:rsidR="00D61D35" w:rsidRPr="002770B9" w:rsidRDefault="002770B9" w:rsidP="00D61D35">
      <w:pPr>
        <w:pStyle w:val="Bullet4"/>
        <w:rPr>
          <w:lang w:val="de-DE"/>
        </w:rPr>
      </w:pPr>
      <w:r>
        <w:rPr>
          <w:rFonts w:eastAsia="Tahoma"/>
          <w:lang w:val="de-DE"/>
        </w:rPr>
        <w:t xml:space="preserve">die Software auf eine Weise zu verwenden, die gegen das Gesetz verstößt, </w:t>
      </w:r>
    </w:p>
    <w:p w14:paraId="24D4AAEC" w14:textId="77777777" w:rsidR="00EA4337" w:rsidRPr="002770B9" w:rsidRDefault="002770B9" w:rsidP="00D61D35">
      <w:pPr>
        <w:pStyle w:val="Bullet4"/>
        <w:rPr>
          <w:lang w:val="de-DE"/>
        </w:rPr>
      </w:pPr>
      <w:r>
        <w:rPr>
          <w:rFonts w:eastAsia="Tahoma"/>
          <w:lang w:val="de-DE"/>
        </w:rPr>
        <w:t>die Software gemeinsam zu nutzen, zu veröffentlichen, zu vermieten; oder</w:t>
      </w:r>
    </w:p>
    <w:p w14:paraId="24D4AAED" w14:textId="77777777" w:rsidR="00D61D35" w:rsidRPr="002770B9" w:rsidRDefault="002770B9" w:rsidP="00D61D35">
      <w:pPr>
        <w:pStyle w:val="Bullet4"/>
        <w:rPr>
          <w:lang w:val="de-DE"/>
        </w:rPr>
      </w:pPr>
      <w:r>
        <w:rPr>
          <w:rFonts w:eastAsia="Tahoma"/>
          <w:lang w:val="de-DE"/>
        </w:rPr>
        <w:t>die Software als eigenständiges Angebot zur Verfügung stellen oder sie mit einer anderen Ihrer Anwendungen für die Nutzung oder die Übertragung der Software oder dieses Vertrags durch andere zu kombinieren.</w:t>
      </w:r>
    </w:p>
    <w:p w14:paraId="24D4AAEE" w14:textId="77777777" w:rsidR="00D61D35" w:rsidRPr="002770B9" w:rsidRDefault="002770B9" w:rsidP="004D429F">
      <w:pPr>
        <w:pStyle w:val="Heading1"/>
        <w:numPr>
          <w:ilvl w:val="0"/>
          <w:numId w:val="36"/>
        </w:numPr>
        <w:ind w:left="360"/>
        <w:rPr>
          <w:u w:val="single"/>
          <w:lang w:val="de-DE"/>
        </w:rPr>
      </w:pPr>
      <w:r>
        <w:rPr>
          <w:rFonts w:eastAsia="Tahoma"/>
          <w:lang w:val="de-DE"/>
        </w:rPr>
        <w:t xml:space="preserve">SUPPORT-DIENSTE. </w:t>
      </w:r>
      <w:hyperlink r:id="rId9" w:history="1">
        <w:r>
          <w:rPr>
            <w:rFonts w:eastAsia="Tahoma"/>
            <w:b w:val="0"/>
            <w:bCs w:val="0"/>
            <w:lang w:val="de-DE"/>
          </w:rPr>
          <w:t>Da</w:t>
        </w:r>
      </w:hyperlink>
      <w:r>
        <w:rPr>
          <w:rFonts w:eastAsia="Tahoma"/>
          <w:b w:val="0"/>
          <w:bCs w:val="0"/>
          <w:lang w:val="de-DE"/>
        </w:rPr>
        <w:t xml:space="preserve"> diese Software „wie besehen“ verkauft wird, stellen wir für diese möglicherweise keine Supportleistungen zur Verfügung.</w:t>
      </w:r>
    </w:p>
    <w:p w14:paraId="24D4AAEF" w14:textId="77777777" w:rsidR="00D61D35" w:rsidRPr="002770B9" w:rsidRDefault="002770B9" w:rsidP="004D429F">
      <w:pPr>
        <w:pStyle w:val="Heading1"/>
        <w:numPr>
          <w:ilvl w:val="0"/>
          <w:numId w:val="36"/>
        </w:numPr>
        <w:ind w:left="360"/>
        <w:rPr>
          <w:lang w:val="de-DE"/>
        </w:rPr>
      </w:pPr>
      <w:r>
        <w:rPr>
          <w:rFonts w:eastAsia="Tahoma"/>
          <w:lang w:val="de-DE"/>
        </w:rPr>
        <w:t xml:space="preserve">GESAMTE VEREINBARUNG. </w:t>
      </w:r>
      <w:r>
        <w:rPr>
          <w:rFonts w:eastAsia="Tahoma"/>
          <w:b w:val="0"/>
          <w:bCs w:val="0"/>
          <w:lang w:val="de-DE"/>
        </w:rPr>
        <w:t>Dieser Vertrag sowie die Bestimmungen für von Ihnen genutzte Ergänzungen, Updates, internetbasierte Dienste und Supportservices stellen den gesamten Vertrag über die Software und die Supportservices dar.</w:t>
      </w:r>
    </w:p>
    <w:p w14:paraId="24D4AAF0" w14:textId="77777777" w:rsidR="00DF5539" w:rsidRPr="002770B9" w:rsidRDefault="002770B9" w:rsidP="004D429F">
      <w:pPr>
        <w:pStyle w:val="Heading1"/>
        <w:numPr>
          <w:ilvl w:val="0"/>
          <w:numId w:val="36"/>
        </w:numPr>
        <w:ind w:left="360"/>
        <w:rPr>
          <w:rStyle w:val="Hyperlink"/>
          <w:rFonts w:cs="Tahoma"/>
          <w:b w:val="0"/>
          <w:color w:val="auto"/>
          <w:u w:val="none"/>
          <w:lang w:val="de-DE"/>
        </w:rPr>
      </w:pPr>
      <w:r>
        <w:rPr>
          <w:rFonts w:eastAsia="Tahoma"/>
          <w:lang w:val="de-DE"/>
        </w:rPr>
        <w:t xml:space="preserve">EXPORTBESCHRÄNKUNGEN. </w:t>
      </w:r>
      <w:r>
        <w:rPr>
          <w:rFonts w:eastAsia="Tahoma"/>
          <w:b w:val="0"/>
          <w:bCs w:val="0"/>
          <w:lang w:val="de-DE"/>
        </w:rPr>
        <w:t xml:space="preserve">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10" w:history="1">
        <w:r>
          <w:rPr>
            <w:rFonts w:eastAsia="Tahoma"/>
            <w:b w:val="0"/>
            <w:bCs w:val="0"/>
            <w:color w:val="0000FF"/>
            <w:u w:val="single"/>
            <w:lang w:val="de-DE"/>
          </w:rPr>
          <w:t>www.microsoft.com/exporting</w:t>
        </w:r>
      </w:hyperlink>
      <w:r>
        <w:rPr>
          <w:rFonts w:eastAsia="Tahoma"/>
          <w:b w:val="0"/>
          <w:bCs w:val="0"/>
          <w:color w:val="0000FF"/>
          <w:u w:val="single"/>
          <w:lang w:val="de-DE"/>
        </w:rPr>
        <w:t>.</w:t>
      </w:r>
    </w:p>
    <w:p w14:paraId="24D4AAF1" w14:textId="77777777" w:rsidR="00D61D35" w:rsidRPr="002770B9" w:rsidRDefault="002770B9" w:rsidP="004D429F">
      <w:pPr>
        <w:pStyle w:val="Heading1"/>
        <w:numPr>
          <w:ilvl w:val="0"/>
          <w:numId w:val="36"/>
        </w:numPr>
        <w:ind w:left="360"/>
        <w:rPr>
          <w:lang w:val="de-DE"/>
        </w:rPr>
      </w:pPr>
      <w:r>
        <w:rPr>
          <w:rFonts w:eastAsia="Tahoma"/>
          <w:lang w:val="de-DE"/>
        </w:rPr>
        <w:t xml:space="preserve">ANWENDBARES RECHT. </w:t>
      </w:r>
      <w:r>
        <w:rPr>
          <w:rFonts w:eastAsia="Tahoma"/>
          <w:b w:val="0"/>
          <w:bCs w:val="0"/>
          <w:lang w:val="de-DE"/>
        </w:rPr>
        <w:t>Wenn Sie die Software in den USA erworben haben, regeln die Gesetze des Bundesstaates Washington die Auslegung dieses Vertrags sowie Ansprüche, die aus einer Vertragsverletzung entstehen, und die Gesetze des Bundesstaates, in dem Sie leben, regeln alle anderen Ansprüche. Wenn Sie die Software in einem anderen Land erworben haben, gelten die Gesetze dieses Landes.</w:t>
      </w:r>
    </w:p>
    <w:p w14:paraId="24D4AAF2" w14:textId="77777777" w:rsidR="00CD364A" w:rsidRPr="002770B9" w:rsidRDefault="002770B9" w:rsidP="004D429F">
      <w:pPr>
        <w:numPr>
          <w:ilvl w:val="0"/>
          <w:numId w:val="36"/>
        </w:numPr>
        <w:ind w:left="360"/>
        <w:outlineLvl w:val="0"/>
        <w:rPr>
          <w:bCs/>
          <w:lang w:val="de-DE"/>
        </w:rPr>
      </w:pPr>
      <w:r>
        <w:rPr>
          <w:rFonts w:eastAsia="Tahoma"/>
          <w:b/>
          <w:bCs/>
          <w:lang w:val="de-DE"/>
        </w:rPr>
        <w:t>VERBRAUCHERRECHTE, REGIONALE VARIANTEN.</w:t>
      </w:r>
      <w:r>
        <w:rPr>
          <w:rFonts w:eastAsia="Tahoma"/>
          <w:lang w:val="de-DE"/>
        </w:rPr>
        <w:t xml:space="preserve">Diese Lizenzbestimmungen beschreiben bestimmte gesetzliche Rechte. Möglicherweise sehen die Gesetze Ihres Staats oder Lands andere Rechte vor, einschließlich Verbraucherrechte. Möglicherweise haben Sie auch Rechte gegenüber der Partei, von der Sie die Software erworben haben. Dieser Vertrag ändert diese anderen Rechte nicht, wenn die Gesetze Ihres Bundesstaates oder Lands dies nicht gestatten. Wenn Sie die Software beispielsweise in einer der unten </w:t>
      </w:r>
      <w:r>
        <w:rPr>
          <w:rFonts w:eastAsia="Tahoma"/>
          <w:lang w:val="de-DE"/>
        </w:rPr>
        <w:lastRenderedPageBreak/>
        <w:t>genannten Regionen erworben haben oder zwingendes Recht des Landes Anwendung findet, gelten die folgenden Bestimmungen für Sie:</w:t>
      </w:r>
    </w:p>
    <w:p w14:paraId="24D4AAF3" w14:textId="77777777" w:rsidR="00CD364A" w:rsidRPr="002770B9" w:rsidRDefault="002770B9" w:rsidP="00CD364A">
      <w:pPr>
        <w:numPr>
          <w:ilvl w:val="0"/>
          <w:numId w:val="26"/>
        </w:numPr>
        <w:outlineLvl w:val="1"/>
        <w:rPr>
          <w:bCs/>
          <w:lang w:val="de-DE"/>
        </w:rPr>
      </w:pPr>
      <w:r>
        <w:rPr>
          <w:rFonts w:eastAsia="Tahoma"/>
          <w:b/>
          <w:bCs/>
          <w:lang w:val="de-DE"/>
        </w:rPr>
        <w:t xml:space="preserve">Australien. </w:t>
      </w:r>
      <w:r>
        <w:rPr>
          <w:rFonts w:eastAsia="Tahoma"/>
          <w:lang w:val="de-DE"/>
        </w:rPr>
        <w:t>Nach dem Australian Consumer Law gelten gesetzliche Garantien, und es besteht an keiner Stelle in diesen Lizenzbestimmungen die Absicht, diese Rechte einzuschränken.</w:t>
      </w:r>
    </w:p>
    <w:p w14:paraId="24D4AAF4" w14:textId="77777777" w:rsidR="00CD364A" w:rsidRPr="002770B9" w:rsidRDefault="002770B9" w:rsidP="00CD364A">
      <w:pPr>
        <w:numPr>
          <w:ilvl w:val="0"/>
          <w:numId w:val="26"/>
        </w:numPr>
        <w:outlineLvl w:val="1"/>
        <w:rPr>
          <w:bCs/>
          <w:lang w:val="de-DE"/>
        </w:rPr>
      </w:pPr>
      <w:r>
        <w:rPr>
          <w:rFonts w:eastAsia="Tahoma"/>
          <w:b/>
          <w:bCs/>
          <w:lang w:val="de-DE"/>
        </w:rPr>
        <w:t xml:space="preserve">Kanada. </w:t>
      </w:r>
      <w:r>
        <w:rPr>
          <w:rFonts w:eastAsia="Tahoma"/>
          <w:lang w:val="de-DE"/>
        </w:rPr>
        <w:t>Sie können Aktualisierungen auf Ihrem Gerät deaktivieren, indem Sie den Internetzugang ausschalten, wenn Sie sich anschließend wieder mit dem Internet verbinden, wird die Software die Suche nach Aktualisierungen fortsetzen und diese installieren.</w:t>
      </w:r>
    </w:p>
    <w:p w14:paraId="24D4AAF5" w14:textId="77777777" w:rsidR="00CD364A" w:rsidRPr="00BE609E" w:rsidRDefault="002770B9" w:rsidP="00CD364A">
      <w:pPr>
        <w:numPr>
          <w:ilvl w:val="0"/>
          <w:numId w:val="26"/>
        </w:numPr>
        <w:outlineLvl w:val="1"/>
        <w:rPr>
          <w:bCs/>
        </w:rPr>
      </w:pPr>
      <w:r>
        <w:rPr>
          <w:rFonts w:eastAsia="Tahoma"/>
          <w:b/>
          <w:bCs/>
          <w:lang w:val="de-DE"/>
        </w:rPr>
        <w:t>Deutschland und Österreich.</w:t>
      </w:r>
    </w:p>
    <w:p w14:paraId="24D4AAF6" w14:textId="77777777" w:rsidR="00CD364A" w:rsidRPr="002770B9" w:rsidRDefault="002770B9" w:rsidP="00CD364A">
      <w:pPr>
        <w:ind w:left="717"/>
        <w:rPr>
          <w:lang w:val="de-DE"/>
        </w:rPr>
      </w:pPr>
      <w:r>
        <w:rPr>
          <w:rFonts w:eastAsia="Tahoma"/>
          <w:b/>
          <w:bCs/>
          <w:lang w:val="de-DE"/>
        </w:rPr>
        <w:t>(i)</w:t>
      </w:r>
      <w:r>
        <w:rPr>
          <w:rFonts w:eastAsia="Tahoma"/>
          <w:lang w:val="de-DE"/>
        </w:rPr>
        <w:tab/>
      </w:r>
      <w:r>
        <w:rPr>
          <w:rFonts w:eastAsia="Tahoma"/>
          <w:b/>
          <w:bCs/>
          <w:lang w:val="de-DE"/>
        </w:rPr>
        <w:t>Gewährleistung.</w:t>
      </w:r>
      <w:r>
        <w:rPr>
          <w:rFonts w:eastAsia="Tahoma"/>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24D4AAF7" w14:textId="77777777" w:rsidR="00CD364A" w:rsidRPr="002770B9" w:rsidRDefault="002770B9" w:rsidP="00CD364A">
      <w:pPr>
        <w:ind w:left="717"/>
        <w:rPr>
          <w:lang w:val="de-DE"/>
        </w:rPr>
      </w:pPr>
      <w:r>
        <w:rPr>
          <w:rFonts w:eastAsia="Tahoma"/>
          <w:b/>
          <w:bCs/>
          <w:lang w:val="de-DE"/>
        </w:rPr>
        <w:t>(ii)</w:t>
      </w:r>
      <w:r>
        <w:rPr>
          <w:rFonts w:eastAsia="Tahoma"/>
          <w:lang w:val="de-DE"/>
        </w:rPr>
        <w:tab/>
      </w:r>
      <w:r>
        <w:rPr>
          <w:rFonts w:eastAsia="Tahoma"/>
          <w:b/>
          <w:bCs/>
          <w:lang w:val="de-DE"/>
        </w:rPr>
        <w:t>Haftungsbeschränkung.</w:t>
      </w:r>
      <w:r>
        <w:rPr>
          <w:rFonts w:eastAsia="Tahoma"/>
          <w:lang w:val="de-DE"/>
        </w:rPr>
        <w:t xml:space="preserve"> Bei Vorsatz, grober Fahrlässigkeit, Ansprüchen nach dem Produkthaftungsgesetz sowie bei Verletzung von Leben, Körper oder Gesundheit haftet Microsoft nach den gesetzlichen Bestimmungen.</w:t>
      </w:r>
    </w:p>
    <w:p w14:paraId="24D4AAF8" w14:textId="77777777" w:rsidR="00CD364A" w:rsidRPr="00BE609E" w:rsidRDefault="002770B9" w:rsidP="00CD364A">
      <w:pPr>
        <w:ind w:left="717"/>
        <w:outlineLvl w:val="0"/>
        <w:rPr>
          <w:bCs/>
        </w:rPr>
      </w:pPr>
      <w:r>
        <w:rPr>
          <w:rFonts w:eastAsia="Tahoma"/>
          <w:bCs/>
          <w:lang w:val="de-DE"/>
        </w:rPr>
        <w:t>Vorbehaltlich des vorangegangenen Satzes (ii) haftet Microsoft nur dann für leichte Fahrlässigkeit, wenn Microsoft diejenigen wesentlichen Vertragspflichten verletzt, deren Erfüllung die ordnungsgemäße Durchführung dieses Vertrages überhaupt erst ermöglicht, deren Verletzung den Zweck dieses Vertrages gefährden würde und auf deren Einhaltung eine Partei regelmäßig vertrauen darf (sogenannte „Kardinalpflichten“). In anderen Fällen leichter Fahrlässigkeit haftet Microsoft nicht.</w:t>
      </w:r>
    </w:p>
    <w:p w14:paraId="24D4AAF9" w14:textId="77777777" w:rsidR="00D61D35" w:rsidRPr="002770B9" w:rsidRDefault="002770B9" w:rsidP="003D3774">
      <w:pPr>
        <w:pStyle w:val="Heading1"/>
        <w:numPr>
          <w:ilvl w:val="0"/>
          <w:numId w:val="36"/>
        </w:numPr>
        <w:ind w:left="360"/>
        <w:rPr>
          <w:caps/>
          <w:lang w:val="de-DE"/>
        </w:rPr>
      </w:pPr>
      <w:r>
        <w:rPr>
          <w:rFonts w:eastAsia="Tahoma"/>
          <w:lang w:val="de-DE"/>
        </w:rPr>
        <w:t xml:space="preserve">AUSSCHLUSS VON GARANTIEN. </w:t>
      </w:r>
      <w:r>
        <w:rPr>
          <w:rFonts w:eastAsia="Tahoma"/>
          <w:caps/>
          <w:lang w:val="de-DE"/>
        </w:rPr>
        <w:t>Die Software wird „wie besehen“ lizenziert. Sie tragen das mit der Verwendung verbundene Risiko. Microsoft gewährt keine ausdrücklichen Gewährleistungen oder Garantien. In dem nach ihrem örtlich anwendbaren Recht zulässigen Umfang schließt Microsoft konkludente Garantien der Handelsüblichkeit, Eignung für einen bestimmten Zweck und Nichtverletzung von Rechten Dritter aus.</w:t>
      </w:r>
    </w:p>
    <w:p w14:paraId="24D4AAFA" w14:textId="77777777" w:rsidR="00D61D35" w:rsidRPr="002770B9" w:rsidRDefault="002770B9" w:rsidP="003D3774">
      <w:pPr>
        <w:pStyle w:val="Heading1"/>
        <w:numPr>
          <w:ilvl w:val="0"/>
          <w:numId w:val="36"/>
        </w:numPr>
        <w:ind w:left="360"/>
        <w:rPr>
          <w:caps/>
          <w:lang w:val="de-DE"/>
        </w:rPr>
      </w:pPr>
      <w:r>
        <w:rPr>
          <w:rFonts w:eastAsia="Tahoma"/>
          <w:caps/>
          <w:lang w:val="de-DE"/>
        </w:rPr>
        <w:t>SCHADENSBEGRENZUNG. Sie können von Microsoft und deren Lieferanten nur einen Ersatz für direkte Schäden bis zu einem Betrag von 5,00 US-Dollar erhalten. Sie können keinen Ersatz für andere Schäden erhalten, einschließlich Folgeschäden, Schäden aus entgangenem Gewinn, spezielle, indirekte oder zufällige Schäden.</w:t>
      </w:r>
    </w:p>
    <w:p w14:paraId="24D4AAFB" w14:textId="77777777" w:rsidR="00D61D35" w:rsidRPr="002770B9" w:rsidRDefault="002770B9" w:rsidP="00D61D35">
      <w:pPr>
        <w:pStyle w:val="Body1"/>
        <w:rPr>
          <w:rFonts w:eastAsia="SimSun"/>
          <w:lang w:val="de-DE"/>
        </w:rPr>
      </w:pPr>
      <w:r>
        <w:rPr>
          <w:rFonts w:eastAsia="Tahoma"/>
          <w:lang w:val="de-DE"/>
        </w:rPr>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24D4AAFC" w14:textId="77777777" w:rsidR="00D61D35" w:rsidRPr="002770B9" w:rsidRDefault="002770B9" w:rsidP="00D61D35">
      <w:pPr>
        <w:pStyle w:val="Bullet4"/>
        <w:numPr>
          <w:ilvl w:val="0"/>
          <w:numId w:val="0"/>
        </w:numPr>
        <w:ind w:left="360"/>
        <w:rPr>
          <w:lang w:val="de-DE"/>
        </w:rPr>
      </w:pPr>
      <w:r>
        <w:rPr>
          <w:rFonts w:eastAsia="Tahoma"/>
          <w:lang w:val="de-DE"/>
        </w:rPr>
        <w:t>Sie hat auch dann Gültigkeit, wenn Microsoft von der Möglichkeit der Schäden gewusst hat oder hätte wissen müssen. Obige Beschränkung und obiger Ausschluss gelten möglicherweise nicht für Sie, weil Ihr Staat oder Land den Ausschluss oder die Beschränkung von zufälligen Schäden, Folgeschäden oder sonstigen Schäden nicht gestattet.</w:t>
      </w:r>
    </w:p>
    <w:p w14:paraId="24D4AAFD" w14:textId="77777777" w:rsidR="00240B01" w:rsidRPr="002770B9" w:rsidRDefault="00240B01" w:rsidP="001C4DCF">
      <w:pPr>
        <w:pStyle w:val="Body1"/>
        <w:ind w:left="0"/>
        <w:rPr>
          <w:lang w:val="de-DE"/>
        </w:rPr>
      </w:pPr>
    </w:p>
    <w:p w14:paraId="24D4AAFE" w14:textId="77777777" w:rsidR="0048502F" w:rsidRPr="0048502F" w:rsidRDefault="002770B9" w:rsidP="0048502F">
      <w:pPr>
        <w:rPr>
          <w:rFonts w:ascii="Candara" w:hAnsi="Candara"/>
          <w:color w:val="1F4E79"/>
          <w:sz w:val="24"/>
          <w:szCs w:val="24"/>
          <w:lang w:val="pt-PT"/>
        </w:rPr>
      </w:pPr>
      <w:r w:rsidRPr="0048502F">
        <w:rPr>
          <w:rFonts w:ascii="Candara" w:hAnsi="Candara"/>
          <w:color w:val="1F4E79"/>
          <w:sz w:val="24"/>
          <w:szCs w:val="24"/>
          <w:lang w:val="pt-PT"/>
        </w:rPr>
        <w:t xml:space="preserve">EULA ID: </w:t>
      </w:r>
      <w:r w:rsidR="0048502F" w:rsidRPr="0048502F">
        <w:rPr>
          <w:rFonts w:ascii="Candara" w:hAnsi="Candara"/>
          <w:color w:val="1F4E79"/>
          <w:sz w:val="24"/>
          <w:szCs w:val="24"/>
          <w:lang w:val="pt-PT"/>
        </w:rPr>
        <w:t>VS_2019_RC_DEU.1031</w:t>
      </w:r>
    </w:p>
    <w:p w14:paraId="24D4AAFF" w14:textId="77777777" w:rsidR="007974F4" w:rsidRPr="0048502F" w:rsidRDefault="007974F4" w:rsidP="001C4DCF">
      <w:pPr>
        <w:pStyle w:val="Body1"/>
        <w:ind w:left="0"/>
        <w:rPr>
          <w:lang w:val="pt-PT"/>
        </w:rPr>
      </w:pPr>
    </w:p>
    <w:sectPr w:rsidR="007974F4" w:rsidRPr="0048502F"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5D11A" w14:textId="77777777" w:rsidR="00E86FF4" w:rsidRDefault="00E86FF4" w:rsidP="002770B9">
      <w:pPr>
        <w:spacing w:before="0" w:after="0"/>
      </w:pPr>
      <w:r>
        <w:separator/>
      </w:r>
    </w:p>
  </w:endnote>
  <w:endnote w:type="continuationSeparator" w:id="0">
    <w:p w14:paraId="10D8076F" w14:textId="77777777" w:rsidR="00E86FF4" w:rsidRDefault="00E86FF4" w:rsidP="002770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5FECA" w14:textId="77777777" w:rsidR="00E86FF4" w:rsidRDefault="00E86FF4" w:rsidP="002770B9">
      <w:pPr>
        <w:spacing w:before="0" w:after="0"/>
      </w:pPr>
      <w:r>
        <w:separator/>
      </w:r>
    </w:p>
  </w:footnote>
  <w:footnote w:type="continuationSeparator" w:id="0">
    <w:p w14:paraId="3AEBA9D5" w14:textId="77777777" w:rsidR="00E86FF4" w:rsidRDefault="00E86FF4" w:rsidP="002770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58B6BAE2">
      <w:start w:val="1"/>
      <w:numFmt w:val="bullet"/>
      <w:lvlText w:val=""/>
      <w:lvlJc w:val="left"/>
      <w:pPr>
        <w:ind w:left="1800" w:hanging="360"/>
      </w:pPr>
      <w:rPr>
        <w:rFonts w:ascii="Symbol" w:eastAsiaTheme="minorHAnsi" w:hAnsi="Symbol" w:cstheme="minorBidi" w:hint="default"/>
      </w:rPr>
    </w:lvl>
    <w:lvl w:ilvl="1" w:tplc="00B6B1DA" w:tentative="1">
      <w:start w:val="1"/>
      <w:numFmt w:val="bullet"/>
      <w:lvlText w:val="o"/>
      <w:lvlJc w:val="left"/>
      <w:pPr>
        <w:ind w:left="2520" w:hanging="360"/>
      </w:pPr>
      <w:rPr>
        <w:rFonts w:ascii="Courier New" w:hAnsi="Courier New" w:cs="Courier New" w:hint="default"/>
      </w:rPr>
    </w:lvl>
    <w:lvl w:ilvl="2" w:tplc="84A41AB4" w:tentative="1">
      <w:start w:val="1"/>
      <w:numFmt w:val="bullet"/>
      <w:lvlText w:val=""/>
      <w:lvlJc w:val="left"/>
      <w:pPr>
        <w:ind w:left="3240" w:hanging="360"/>
      </w:pPr>
      <w:rPr>
        <w:rFonts w:ascii="Wingdings" w:hAnsi="Wingdings" w:hint="default"/>
      </w:rPr>
    </w:lvl>
    <w:lvl w:ilvl="3" w:tplc="EE4A4616" w:tentative="1">
      <w:start w:val="1"/>
      <w:numFmt w:val="bullet"/>
      <w:lvlText w:val=""/>
      <w:lvlJc w:val="left"/>
      <w:pPr>
        <w:ind w:left="3960" w:hanging="360"/>
      </w:pPr>
      <w:rPr>
        <w:rFonts w:ascii="Symbol" w:hAnsi="Symbol" w:hint="default"/>
      </w:rPr>
    </w:lvl>
    <w:lvl w:ilvl="4" w:tplc="3D2AF362" w:tentative="1">
      <w:start w:val="1"/>
      <w:numFmt w:val="bullet"/>
      <w:lvlText w:val="o"/>
      <w:lvlJc w:val="left"/>
      <w:pPr>
        <w:ind w:left="4680" w:hanging="360"/>
      </w:pPr>
      <w:rPr>
        <w:rFonts w:ascii="Courier New" w:hAnsi="Courier New" w:cs="Courier New" w:hint="default"/>
      </w:rPr>
    </w:lvl>
    <w:lvl w:ilvl="5" w:tplc="A1CA5682" w:tentative="1">
      <w:start w:val="1"/>
      <w:numFmt w:val="bullet"/>
      <w:lvlText w:val=""/>
      <w:lvlJc w:val="left"/>
      <w:pPr>
        <w:ind w:left="5400" w:hanging="360"/>
      </w:pPr>
      <w:rPr>
        <w:rFonts w:ascii="Wingdings" w:hAnsi="Wingdings" w:hint="default"/>
      </w:rPr>
    </w:lvl>
    <w:lvl w:ilvl="6" w:tplc="4FB2D64E" w:tentative="1">
      <w:start w:val="1"/>
      <w:numFmt w:val="bullet"/>
      <w:lvlText w:val=""/>
      <w:lvlJc w:val="left"/>
      <w:pPr>
        <w:ind w:left="6120" w:hanging="360"/>
      </w:pPr>
      <w:rPr>
        <w:rFonts w:ascii="Symbol" w:hAnsi="Symbol" w:hint="default"/>
      </w:rPr>
    </w:lvl>
    <w:lvl w:ilvl="7" w:tplc="0E98289C" w:tentative="1">
      <w:start w:val="1"/>
      <w:numFmt w:val="bullet"/>
      <w:lvlText w:val="o"/>
      <w:lvlJc w:val="left"/>
      <w:pPr>
        <w:ind w:left="6840" w:hanging="360"/>
      </w:pPr>
      <w:rPr>
        <w:rFonts w:ascii="Courier New" w:hAnsi="Courier New" w:cs="Courier New" w:hint="default"/>
      </w:rPr>
    </w:lvl>
    <w:lvl w:ilvl="8" w:tplc="40289CE0"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8AA43D0">
      <w:start w:val="1"/>
      <w:numFmt w:val="bullet"/>
      <w:pStyle w:val="Bullet2"/>
      <w:lvlText w:val=""/>
      <w:lvlJc w:val="left"/>
      <w:pPr>
        <w:tabs>
          <w:tab w:val="num" w:pos="720"/>
        </w:tabs>
        <w:ind w:left="720" w:hanging="363"/>
      </w:pPr>
      <w:rPr>
        <w:rFonts w:ascii="Symbol" w:hAnsi="Symbol" w:hint="default"/>
      </w:rPr>
    </w:lvl>
    <w:lvl w:ilvl="1" w:tplc="DAEC497A">
      <w:start w:val="1"/>
      <w:numFmt w:val="bullet"/>
      <w:lvlText w:val="o"/>
      <w:lvlJc w:val="left"/>
      <w:pPr>
        <w:tabs>
          <w:tab w:val="num" w:pos="1440"/>
        </w:tabs>
        <w:ind w:left="1440" w:hanging="360"/>
      </w:pPr>
      <w:rPr>
        <w:rFonts w:ascii="Courier New" w:hAnsi="Courier New" w:hint="default"/>
      </w:rPr>
    </w:lvl>
    <w:lvl w:ilvl="2" w:tplc="363617D0">
      <w:start w:val="1"/>
      <w:numFmt w:val="bullet"/>
      <w:lvlText w:val=""/>
      <w:lvlJc w:val="left"/>
      <w:pPr>
        <w:tabs>
          <w:tab w:val="num" w:pos="2160"/>
        </w:tabs>
        <w:ind w:left="2160" w:hanging="360"/>
      </w:pPr>
      <w:rPr>
        <w:rFonts w:ascii="Wingdings" w:hAnsi="Wingdings" w:hint="default"/>
      </w:rPr>
    </w:lvl>
    <w:lvl w:ilvl="3" w:tplc="03A88396">
      <w:start w:val="1"/>
      <w:numFmt w:val="bullet"/>
      <w:lvlText w:val=""/>
      <w:lvlJc w:val="left"/>
      <w:pPr>
        <w:tabs>
          <w:tab w:val="num" w:pos="2880"/>
        </w:tabs>
        <w:ind w:left="2880" w:hanging="360"/>
      </w:pPr>
      <w:rPr>
        <w:rFonts w:ascii="Symbol" w:hAnsi="Symbol" w:hint="default"/>
      </w:rPr>
    </w:lvl>
    <w:lvl w:ilvl="4" w:tplc="96AA67C2">
      <w:start w:val="1"/>
      <w:numFmt w:val="bullet"/>
      <w:lvlText w:val="o"/>
      <w:lvlJc w:val="left"/>
      <w:pPr>
        <w:tabs>
          <w:tab w:val="num" w:pos="3600"/>
        </w:tabs>
        <w:ind w:left="3600" w:hanging="360"/>
      </w:pPr>
      <w:rPr>
        <w:rFonts w:ascii="Courier New" w:hAnsi="Courier New" w:hint="default"/>
      </w:rPr>
    </w:lvl>
    <w:lvl w:ilvl="5" w:tplc="0818BF48">
      <w:start w:val="1"/>
      <w:numFmt w:val="bullet"/>
      <w:lvlText w:val=""/>
      <w:lvlJc w:val="left"/>
      <w:pPr>
        <w:tabs>
          <w:tab w:val="num" w:pos="4320"/>
        </w:tabs>
        <w:ind w:left="4320" w:hanging="360"/>
      </w:pPr>
      <w:rPr>
        <w:rFonts w:ascii="Wingdings" w:hAnsi="Wingdings" w:hint="default"/>
      </w:rPr>
    </w:lvl>
    <w:lvl w:ilvl="6" w:tplc="AE72DB26">
      <w:start w:val="1"/>
      <w:numFmt w:val="bullet"/>
      <w:lvlText w:val=""/>
      <w:lvlJc w:val="left"/>
      <w:pPr>
        <w:tabs>
          <w:tab w:val="num" w:pos="5040"/>
        </w:tabs>
        <w:ind w:left="5040" w:hanging="360"/>
      </w:pPr>
      <w:rPr>
        <w:rFonts w:ascii="Symbol" w:hAnsi="Symbol" w:hint="default"/>
      </w:rPr>
    </w:lvl>
    <w:lvl w:ilvl="7" w:tplc="FC9463D2">
      <w:start w:val="1"/>
      <w:numFmt w:val="bullet"/>
      <w:lvlText w:val="o"/>
      <w:lvlJc w:val="left"/>
      <w:pPr>
        <w:tabs>
          <w:tab w:val="num" w:pos="5760"/>
        </w:tabs>
        <w:ind w:left="5760" w:hanging="360"/>
      </w:pPr>
      <w:rPr>
        <w:rFonts w:ascii="Courier New" w:hAnsi="Courier New" w:hint="default"/>
      </w:rPr>
    </w:lvl>
    <w:lvl w:ilvl="8" w:tplc="F9BC49F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B016B90E">
      <w:start w:val="1"/>
      <w:numFmt w:val="decimal"/>
      <w:lvlText w:val="%1."/>
      <w:lvlJc w:val="left"/>
      <w:pPr>
        <w:ind w:left="720" w:hanging="360"/>
      </w:pPr>
      <w:rPr>
        <w:rFonts w:hint="default"/>
      </w:rPr>
    </w:lvl>
    <w:lvl w:ilvl="1" w:tplc="C0D413F8" w:tentative="1">
      <w:start w:val="1"/>
      <w:numFmt w:val="lowerLetter"/>
      <w:lvlText w:val="%2."/>
      <w:lvlJc w:val="left"/>
      <w:pPr>
        <w:ind w:left="1440" w:hanging="360"/>
      </w:pPr>
    </w:lvl>
    <w:lvl w:ilvl="2" w:tplc="7C02B968" w:tentative="1">
      <w:start w:val="1"/>
      <w:numFmt w:val="lowerRoman"/>
      <w:lvlText w:val="%3."/>
      <w:lvlJc w:val="right"/>
      <w:pPr>
        <w:ind w:left="2160" w:hanging="180"/>
      </w:pPr>
    </w:lvl>
    <w:lvl w:ilvl="3" w:tplc="47F8752A" w:tentative="1">
      <w:start w:val="1"/>
      <w:numFmt w:val="decimal"/>
      <w:lvlText w:val="%4."/>
      <w:lvlJc w:val="left"/>
      <w:pPr>
        <w:ind w:left="2880" w:hanging="360"/>
      </w:pPr>
    </w:lvl>
    <w:lvl w:ilvl="4" w:tplc="44E8E93A" w:tentative="1">
      <w:start w:val="1"/>
      <w:numFmt w:val="lowerLetter"/>
      <w:lvlText w:val="%5."/>
      <w:lvlJc w:val="left"/>
      <w:pPr>
        <w:ind w:left="3600" w:hanging="360"/>
      </w:pPr>
    </w:lvl>
    <w:lvl w:ilvl="5" w:tplc="13447452" w:tentative="1">
      <w:start w:val="1"/>
      <w:numFmt w:val="lowerRoman"/>
      <w:lvlText w:val="%6."/>
      <w:lvlJc w:val="right"/>
      <w:pPr>
        <w:ind w:left="4320" w:hanging="180"/>
      </w:pPr>
    </w:lvl>
    <w:lvl w:ilvl="6" w:tplc="F72CEF4C" w:tentative="1">
      <w:start w:val="1"/>
      <w:numFmt w:val="decimal"/>
      <w:lvlText w:val="%7."/>
      <w:lvlJc w:val="left"/>
      <w:pPr>
        <w:ind w:left="5040" w:hanging="360"/>
      </w:pPr>
    </w:lvl>
    <w:lvl w:ilvl="7" w:tplc="E5CC54B2" w:tentative="1">
      <w:start w:val="1"/>
      <w:numFmt w:val="lowerLetter"/>
      <w:lvlText w:val="%8."/>
      <w:lvlJc w:val="left"/>
      <w:pPr>
        <w:ind w:left="5760" w:hanging="360"/>
      </w:pPr>
    </w:lvl>
    <w:lvl w:ilvl="8" w:tplc="81E6DEDA"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4948A0D6">
      <w:start w:val="1"/>
      <w:numFmt w:val="lowerRoman"/>
      <w:lvlText w:val="%1."/>
      <w:lvlJc w:val="right"/>
      <w:pPr>
        <w:ind w:left="1440" w:hanging="360"/>
      </w:pPr>
      <w:rPr>
        <w:rFonts w:cs="Times New Roman" w:hint="default"/>
      </w:rPr>
    </w:lvl>
    <w:lvl w:ilvl="1" w:tplc="DFB2516A">
      <w:start w:val="1"/>
      <w:numFmt w:val="lowerLetter"/>
      <w:lvlText w:val="%2."/>
      <w:lvlJc w:val="left"/>
      <w:pPr>
        <w:ind w:left="2160" w:hanging="360"/>
      </w:pPr>
      <w:rPr>
        <w:rFonts w:cs="Times New Roman"/>
      </w:rPr>
    </w:lvl>
    <w:lvl w:ilvl="2" w:tplc="B17EBC0E" w:tentative="1">
      <w:start w:val="1"/>
      <w:numFmt w:val="lowerRoman"/>
      <w:lvlText w:val="%3."/>
      <w:lvlJc w:val="right"/>
      <w:pPr>
        <w:ind w:left="2880" w:hanging="180"/>
      </w:pPr>
      <w:rPr>
        <w:rFonts w:cs="Times New Roman"/>
      </w:rPr>
    </w:lvl>
    <w:lvl w:ilvl="3" w:tplc="FA0065F0" w:tentative="1">
      <w:start w:val="1"/>
      <w:numFmt w:val="decimal"/>
      <w:lvlText w:val="%4."/>
      <w:lvlJc w:val="left"/>
      <w:pPr>
        <w:ind w:left="3600" w:hanging="360"/>
      </w:pPr>
      <w:rPr>
        <w:rFonts w:cs="Times New Roman"/>
      </w:rPr>
    </w:lvl>
    <w:lvl w:ilvl="4" w:tplc="309656D0" w:tentative="1">
      <w:start w:val="1"/>
      <w:numFmt w:val="lowerLetter"/>
      <w:lvlText w:val="%5."/>
      <w:lvlJc w:val="left"/>
      <w:pPr>
        <w:ind w:left="4320" w:hanging="360"/>
      </w:pPr>
      <w:rPr>
        <w:rFonts w:cs="Times New Roman"/>
      </w:rPr>
    </w:lvl>
    <w:lvl w:ilvl="5" w:tplc="D9D8DE4A" w:tentative="1">
      <w:start w:val="1"/>
      <w:numFmt w:val="lowerRoman"/>
      <w:lvlText w:val="%6."/>
      <w:lvlJc w:val="right"/>
      <w:pPr>
        <w:ind w:left="5040" w:hanging="180"/>
      </w:pPr>
      <w:rPr>
        <w:rFonts w:cs="Times New Roman"/>
      </w:rPr>
    </w:lvl>
    <w:lvl w:ilvl="6" w:tplc="52E20188" w:tentative="1">
      <w:start w:val="1"/>
      <w:numFmt w:val="decimal"/>
      <w:lvlText w:val="%7."/>
      <w:lvlJc w:val="left"/>
      <w:pPr>
        <w:ind w:left="5760" w:hanging="360"/>
      </w:pPr>
      <w:rPr>
        <w:rFonts w:cs="Times New Roman"/>
      </w:rPr>
    </w:lvl>
    <w:lvl w:ilvl="7" w:tplc="2C32CFA8" w:tentative="1">
      <w:start w:val="1"/>
      <w:numFmt w:val="lowerLetter"/>
      <w:lvlText w:val="%8."/>
      <w:lvlJc w:val="left"/>
      <w:pPr>
        <w:ind w:left="6480" w:hanging="360"/>
      </w:pPr>
      <w:rPr>
        <w:rFonts w:cs="Times New Roman"/>
      </w:rPr>
    </w:lvl>
    <w:lvl w:ilvl="8" w:tplc="13B8D8DE"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2474F16A">
      <w:start w:val="1"/>
      <w:numFmt w:val="lowerRoman"/>
      <w:lvlText w:val="%1."/>
      <w:lvlJc w:val="right"/>
      <w:pPr>
        <w:ind w:left="1800" w:hanging="360"/>
      </w:pPr>
      <w:rPr>
        <w:rFonts w:cs="Times New Roman" w:hint="default"/>
        <w:b w:val="0"/>
      </w:rPr>
    </w:lvl>
    <w:lvl w:ilvl="1" w:tplc="F14EE27A">
      <w:start w:val="1"/>
      <w:numFmt w:val="lowerLetter"/>
      <w:lvlText w:val="%2."/>
      <w:lvlJc w:val="left"/>
      <w:pPr>
        <w:ind w:left="2520" w:hanging="360"/>
      </w:pPr>
      <w:rPr>
        <w:rFonts w:cs="Times New Roman"/>
      </w:rPr>
    </w:lvl>
    <w:lvl w:ilvl="2" w:tplc="EAA673D8" w:tentative="1">
      <w:start w:val="1"/>
      <w:numFmt w:val="lowerRoman"/>
      <w:lvlText w:val="%3."/>
      <w:lvlJc w:val="right"/>
      <w:pPr>
        <w:ind w:left="3240" w:hanging="180"/>
      </w:pPr>
      <w:rPr>
        <w:rFonts w:cs="Times New Roman"/>
      </w:rPr>
    </w:lvl>
    <w:lvl w:ilvl="3" w:tplc="A4DE54F2" w:tentative="1">
      <w:start w:val="1"/>
      <w:numFmt w:val="decimal"/>
      <w:lvlText w:val="%4."/>
      <w:lvlJc w:val="left"/>
      <w:pPr>
        <w:ind w:left="3960" w:hanging="360"/>
      </w:pPr>
      <w:rPr>
        <w:rFonts w:cs="Times New Roman"/>
      </w:rPr>
    </w:lvl>
    <w:lvl w:ilvl="4" w:tplc="5D9454C6" w:tentative="1">
      <w:start w:val="1"/>
      <w:numFmt w:val="lowerLetter"/>
      <w:lvlText w:val="%5."/>
      <w:lvlJc w:val="left"/>
      <w:pPr>
        <w:ind w:left="4680" w:hanging="360"/>
      </w:pPr>
      <w:rPr>
        <w:rFonts w:cs="Times New Roman"/>
      </w:rPr>
    </w:lvl>
    <w:lvl w:ilvl="5" w:tplc="93523A1E" w:tentative="1">
      <w:start w:val="1"/>
      <w:numFmt w:val="lowerRoman"/>
      <w:lvlText w:val="%6."/>
      <w:lvlJc w:val="right"/>
      <w:pPr>
        <w:ind w:left="5400" w:hanging="180"/>
      </w:pPr>
      <w:rPr>
        <w:rFonts w:cs="Times New Roman"/>
      </w:rPr>
    </w:lvl>
    <w:lvl w:ilvl="6" w:tplc="1EE6A57C" w:tentative="1">
      <w:start w:val="1"/>
      <w:numFmt w:val="decimal"/>
      <w:lvlText w:val="%7."/>
      <w:lvlJc w:val="left"/>
      <w:pPr>
        <w:ind w:left="6120" w:hanging="360"/>
      </w:pPr>
      <w:rPr>
        <w:rFonts w:cs="Times New Roman"/>
      </w:rPr>
    </w:lvl>
    <w:lvl w:ilvl="7" w:tplc="F8A0DA72" w:tentative="1">
      <w:start w:val="1"/>
      <w:numFmt w:val="lowerLetter"/>
      <w:lvlText w:val="%8."/>
      <w:lvlJc w:val="left"/>
      <w:pPr>
        <w:ind w:left="6840" w:hanging="360"/>
      </w:pPr>
      <w:rPr>
        <w:rFonts w:cs="Times New Roman"/>
      </w:rPr>
    </w:lvl>
    <w:lvl w:ilvl="8" w:tplc="C2141FF6"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CFB62372">
      <w:start w:val="1"/>
      <w:numFmt w:val="decimal"/>
      <w:lvlText w:val="%1."/>
      <w:lvlJc w:val="left"/>
      <w:pPr>
        <w:ind w:left="720" w:hanging="360"/>
      </w:pPr>
      <w:rPr>
        <w:rFonts w:hint="default"/>
        <w:b/>
      </w:rPr>
    </w:lvl>
    <w:lvl w:ilvl="1" w:tplc="47AA9B76">
      <w:start w:val="1"/>
      <w:numFmt w:val="lowerLetter"/>
      <w:lvlText w:val="%2."/>
      <w:lvlJc w:val="left"/>
      <w:pPr>
        <w:ind w:left="1440" w:hanging="360"/>
      </w:pPr>
      <w:rPr>
        <w:b w:val="0"/>
      </w:rPr>
    </w:lvl>
    <w:lvl w:ilvl="2" w:tplc="6B32BCD8" w:tentative="1">
      <w:start w:val="1"/>
      <w:numFmt w:val="lowerRoman"/>
      <w:lvlText w:val="%3."/>
      <w:lvlJc w:val="right"/>
      <w:pPr>
        <w:ind w:left="2160" w:hanging="180"/>
      </w:pPr>
    </w:lvl>
    <w:lvl w:ilvl="3" w:tplc="2CA4F7E2" w:tentative="1">
      <w:start w:val="1"/>
      <w:numFmt w:val="decimal"/>
      <w:lvlText w:val="%4."/>
      <w:lvlJc w:val="left"/>
      <w:pPr>
        <w:ind w:left="2880" w:hanging="360"/>
      </w:pPr>
    </w:lvl>
    <w:lvl w:ilvl="4" w:tplc="4956E10A" w:tentative="1">
      <w:start w:val="1"/>
      <w:numFmt w:val="lowerLetter"/>
      <w:lvlText w:val="%5."/>
      <w:lvlJc w:val="left"/>
      <w:pPr>
        <w:ind w:left="3600" w:hanging="360"/>
      </w:pPr>
    </w:lvl>
    <w:lvl w:ilvl="5" w:tplc="E6026CB4" w:tentative="1">
      <w:start w:val="1"/>
      <w:numFmt w:val="lowerRoman"/>
      <w:lvlText w:val="%6."/>
      <w:lvlJc w:val="right"/>
      <w:pPr>
        <w:ind w:left="4320" w:hanging="180"/>
      </w:pPr>
    </w:lvl>
    <w:lvl w:ilvl="6" w:tplc="C0B21530" w:tentative="1">
      <w:start w:val="1"/>
      <w:numFmt w:val="decimal"/>
      <w:lvlText w:val="%7."/>
      <w:lvlJc w:val="left"/>
      <w:pPr>
        <w:ind w:left="5040" w:hanging="360"/>
      </w:pPr>
    </w:lvl>
    <w:lvl w:ilvl="7" w:tplc="2228C6F2" w:tentative="1">
      <w:start w:val="1"/>
      <w:numFmt w:val="lowerLetter"/>
      <w:lvlText w:val="%8."/>
      <w:lvlJc w:val="left"/>
      <w:pPr>
        <w:ind w:left="5760" w:hanging="360"/>
      </w:pPr>
    </w:lvl>
    <w:lvl w:ilvl="8" w:tplc="DF7C33E0"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B5540AB6">
      <w:start w:val="1"/>
      <w:numFmt w:val="bullet"/>
      <w:pStyle w:val="Bullet4"/>
      <w:lvlText w:val=""/>
      <w:lvlJc w:val="left"/>
      <w:pPr>
        <w:tabs>
          <w:tab w:val="num" w:pos="1080"/>
        </w:tabs>
        <w:ind w:left="1078" w:hanging="358"/>
      </w:pPr>
      <w:rPr>
        <w:rFonts w:ascii="Symbol" w:hAnsi="Symbol" w:hint="default"/>
      </w:rPr>
    </w:lvl>
    <w:lvl w:ilvl="1" w:tplc="3DF2C0B6">
      <w:start w:val="1"/>
      <w:numFmt w:val="bullet"/>
      <w:lvlText w:val="o"/>
      <w:lvlJc w:val="left"/>
      <w:pPr>
        <w:tabs>
          <w:tab w:val="num" w:pos="1083"/>
        </w:tabs>
        <w:ind w:left="1083" w:hanging="360"/>
      </w:pPr>
      <w:rPr>
        <w:rFonts w:ascii="Courier New" w:hAnsi="Courier New" w:hint="default"/>
      </w:rPr>
    </w:lvl>
    <w:lvl w:ilvl="2" w:tplc="83643330">
      <w:start w:val="1"/>
      <w:numFmt w:val="bullet"/>
      <w:lvlText w:val=""/>
      <w:lvlJc w:val="left"/>
      <w:pPr>
        <w:tabs>
          <w:tab w:val="num" w:pos="1803"/>
        </w:tabs>
        <w:ind w:left="1803" w:hanging="360"/>
      </w:pPr>
      <w:rPr>
        <w:rFonts w:ascii="Wingdings" w:hAnsi="Wingdings" w:hint="default"/>
      </w:rPr>
    </w:lvl>
    <w:lvl w:ilvl="3" w:tplc="0E7C186E">
      <w:start w:val="1"/>
      <w:numFmt w:val="bullet"/>
      <w:lvlText w:val=""/>
      <w:lvlJc w:val="left"/>
      <w:pPr>
        <w:tabs>
          <w:tab w:val="num" w:pos="2523"/>
        </w:tabs>
        <w:ind w:left="2523" w:hanging="360"/>
      </w:pPr>
      <w:rPr>
        <w:rFonts w:ascii="Symbol" w:hAnsi="Symbol" w:hint="default"/>
      </w:rPr>
    </w:lvl>
    <w:lvl w:ilvl="4" w:tplc="924A9F18">
      <w:start w:val="1"/>
      <w:numFmt w:val="bullet"/>
      <w:lvlText w:val="o"/>
      <w:lvlJc w:val="left"/>
      <w:pPr>
        <w:tabs>
          <w:tab w:val="num" w:pos="3243"/>
        </w:tabs>
        <w:ind w:left="3243" w:hanging="360"/>
      </w:pPr>
      <w:rPr>
        <w:rFonts w:ascii="Courier New" w:hAnsi="Courier New" w:hint="default"/>
      </w:rPr>
    </w:lvl>
    <w:lvl w:ilvl="5" w:tplc="F8AC86B0">
      <w:start w:val="1"/>
      <w:numFmt w:val="bullet"/>
      <w:lvlText w:val=""/>
      <w:lvlJc w:val="left"/>
      <w:pPr>
        <w:tabs>
          <w:tab w:val="num" w:pos="3963"/>
        </w:tabs>
        <w:ind w:left="3963" w:hanging="360"/>
      </w:pPr>
      <w:rPr>
        <w:rFonts w:ascii="Wingdings" w:hAnsi="Wingdings" w:hint="default"/>
      </w:rPr>
    </w:lvl>
    <w:lvl w:ilvl="6" w:tplc="6F966AE6">
      <w:start w:val="1"/>
      <w:numFmt w:val="bullet"/>
      <w:lvlText w:val=""/>
      <w:lvlJc w:val="left"/>
      <w:pPr>
        <w:tabs>
          <w:tab w:val="num" w:pos="4683"/>
        </w:tabs>
        <w:ind w:left="4683" w:hanging="360"/>
      </w:pPr>
      <w:rPr>
        <w:rFonts w:ascii="Symbol" w:hAnsi="Symbol" w:hint="default"/>
      </w:rPr>
    </w:lvl>
    <w:lvl w:ilvl="7" w:tplc="5D001C62">
      <w:start w:val="1"/>
      <w:numFmt w:val="bullet"/>
      <w:lvlText w:val="o"/>
      <w:lvlJc w:val="left"/>
      <w:pPr>
        <w:tabs>
          <w:tab w:val="num" w:pos="5403"/>
        </w:tabs>
        <w:ind w:left="5403" w:hanging="360"/>
      </w:pPr>
      <w:rPr>
        <w:rFonts w:ascii="Courier New" w:hAnsi="Courier New" w:hint="default"/>
      </w:rPr>
    </w:lvl>
    <w:lvl w:ilvl="8" w:tplc="6082EC34">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AE740D4C">
      <w:start w:val="1"/>
      <w:numFmt w:val="bullet"/>
      <w:pStyle w:val="Bullet3"/>
      <w:lvlText w:val=""/>
      <w:lvlJc w:val="left"/>
      <w:pPr>
        <w:tabs>
          <w:tab w:val="num" w:pos="1800"/>
        </w:tabs>
        <w:ind w:left="1797" w:hanging="357"/>
      </w:pPr>
      <w:rPr>
        <w:rFonts w:ascii="Symbol" w:hAnsi="Symbol" w:hint="default"/>
      </w:rPr>
    </w:lvl>
    <w:lvl w:ilvl="1" w:tplc="8FB46448">
      <w:start w:val="1"/>
      <w:numFmt w:val="bullet"/>
      <w:lvlText w:val="o"/>
      <w:lvlJc w:val="left"/>
      <w:pPr>
        <w:tabs>
          <w:tab w:val="num" w:pos="2160"/>
        </w:tabs>
        <w:ind w:left="2160" w:hanging="360"/>
      </w:pPr>
      <w:rPr>
        <w:rFonts w:ascii="Courier New" w:hAnsi="Courier New" w:hint="default"/>
      </w:rPr>
    </w:lvl>
    <w:lvl w:ilvl="2" w:tplc="7D7C7D52">
      <w:start w:val="1"/>
      <w:numFmt w:val="bullet"/>
      <w:lvlText w:val=""/>
      <w:lvlJc w:val="left"/>
      <w:pPr>
        <w:tabs>
          <w:tab w:val="num" w:pos="2880"/>
        </w:tabs>
        <w:ind w:left="2880" w:hanging="360"/>
      </w:pPr>
      <w:rPr>
        <w:rFonts w:ascii="Wingdings" w:hAnsi="Wingdings" w:hint="default"/>
      </w:rPr>
    </w:lvl>
    <w:lvl w:ilvl="3" w:tplc="2D20A9CC">
      <w:start w:val="1"/>
      <w:numFmt w:val="bullet"/>
      <w:lvlText w:val=""/>
      <w:lvlJc w:val="left"/>
      <w:pPr>
        <w:tabs>
          <w:tab w:val="num" w:pos="3600"/>
        </w:tabs>
        <w:ind w:left="3600" w:hanging="360"/>
      </w:pPr>
      <w:rPr>
        <w:rFonts w:ascii="Symbol" w:hAnsi="Symbol" w:hint="default"/>
      </w:rPr>
    </w:lvl>
    <w:lvl w:ilvl="4" w:tplc="660EA308">
      <w:start w:val="1"/>
      <w:numFmt w:val="bullet"/>
      <w:lvlText w:val="o"/>
      <w:lvlJc w:val="left"/>
      <w:pPr>
        <w:tabs>
          <w:tab w:val="num" w:pos="4320"/>
        </w:tabs>
        <w:ind w:left="4320" w:hanging="360"/>
      </w:pPr>
      <w:rPr>
        <w:rFonts w:ascii="Courier New" w:hAnsi="Courier New" w:hint="default"/>
      </w:rPr>
    </w:lvl>
    <w:lvl w:ilvl="5" w:tplc="FC0AA31C">
      <w:start w:val="1"/>
      <w:numFmt w:val="bullet"/>
      <w:lvlText w:val=""/>
      <w:lvlJc w:val="left"/>
      <w:pPr>
        <w:tabs>
          <w:tab w:val="num" w:pos="5040"/>
        </w:tabs>
        <w:ind w:left="5040" w:hanging="360"/>
      </w:pPr>
      <w:rPr>
        <w:rFonts w:ascii="Wingdings" w:hAnsi="Wingdings" w:hint="default"/>
      </w:rPr>
    </w:lvl>
    <w:lvl w:ilvl="6" w:tplc="0E52A404">
      <w:start w:val="1"/>
      <w:numFmt w:val="bullet"/>
      <w:lvlText w:val=""/>
      <w:lvlJc w:val="left"/>
      <w:pPr>
        <w:tabs>
          <w:tab w:val="num" w:pos="5760"/>
        </w:tabs>
        <w:ind w:left="5760" w:hanging="360"/>
      </w:pPr>
      <w:rPr>
        <w:rFonts w:ascii="Symbol" w:hAnsi="Symbol" w:hint="default"/>
      </w:rPr>
    </w:lvl>
    <w:lvl w:ilvl="7" w:tplc="B016B86A">
      <w:start w:val="1"/>
      <w:numFmt w:val="bullet"/>
      <w:lvlText w:val="o"/>
      <w:lvlJc w:val="left"/>
      <w:pPr>
        <w:tabs>
          <w:tab w:val="num" w:pos="6480"/>
        </w:tabs>
        <w:ind w:left="6480" w:hanging="360"/>
      </w:pPr>
      <w:rPr>
        <w:rFonts w:ascii="Courier New" w:hAnsi="Courier New" w:hint="default"/>
      </w:rPr>
    </w:lvl>
    <w:lvl w:ilvl="8" w:tplc="38045D12">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55506CC6">
      <w:start w:val="1"/>
      <w:numFmt w:val="lowerLetter"/>
      <w:lvlText w:val="%1."/>
      <w:lvlJc w:val="left"/>
      <w:pPr>
        <w:ind w:left="1080" w:hanging="360"/>
      </w:pPr>
      <w:rPr>
        <w:rFonts w:cs="Times New Roman" w:hint="default"/>
        <w:b/>
      </w:rPr>
    </w:lvl>
    <w:lvl w:ilvl="1" w:tplc="4DBCA26C">
      <w:start w:val="1"/>
      <w:numFmt w:val="lowerLetter"/>
      <w:lvlText w:val="%2."/>
      <w:lvlJc w:val="left"/>
      <w:pPr>
        <w:ind w:left="1800" w:hanging="360"/>
      </w:pPr>
      <w:rPr>
        <w:rFonts w:cs="Times New Roman"/>
      </w:rPr>
    </w:lvl>
    <w:lvl w:ilvl="2" w:tplc="7F9A94D6" w:tentative="1">
      <w:start w:val="1"/>
      <w:numFmt w:val="lowerRoman"/>
      <w:lvlText w:val="%3."/>
      <w:lvlJc w:val="right"/>
      <w:pPr>
        <w:ind w:left="2520" w:hanging="180"/>
      </w:pPr>
      <w:rPr>
        <w:rFonts w:cs="Times New Roman"/>
      </w:rPr>
    </w:lvl>
    <w:lvl w:ilvl="3" w:tplc="6662504A" w:tentative="1">
      <w:start w:val="1"/>
      <w:numFmt w:val="decimal"/>
      <w:lvlText w:val="%4."/>
      <w:lvlJc w:val="left"/>
      <w:pPr>
        <w:ind w:left="3240" w:hanging="360"/>
      </w:pPr>
      <w:rPr>
        <w:rFonts w:cs="Times New Roman"/>
      </w:rPr>
    </w:lvl>
    <w:lvl w:ilvl="4" w:tplc="BA980AF2" w:tentative="1">
      <w:start w:val="1"/>
      <w:numFmt w:val="lowerLetter"/>
      <w:lvlText w:val="%5."/>
      <w:lvlJc w:val="left"/>
      <w:pPr>
        <w:ind w:left="3960" w:hanging="360"/>
      </w:pPr>
      <w:rPr>
        <w:rFonts w:cs="Times New Roman"/>
      </w:rPr>
    </w:lvl>
    <w:lvl w:ilvl="5" w:tplc="655A856A" w:tentative="1">
      <w:start w:val="1"/>
      <w:numFmt w:val="lowerRoman"/>
      <w:lvlText w:val="%6."/>
      <w:lvlJc w:val="right"/>
      <w:pPr>
        <w:ind w:left="4680" w:hanging="180"/>
      </w:pPr>
      <w:rPr>
        <w:rFonts w:cs="Times New Roman"/>
      </w:rPr>
    </w:lvl>
    <w:lvl w:ilvl="6" w:tplc="9E6E58A2" w:tentative="1">
      <w:start w:val="1"/>
      <w:numFmt w:val="decimal"/>
      <w:lvlText w:val="%7."/>
      <w:lvlJc w:val="left"/>
      <w:pPr>
        <w:ind w:left="5400" w:hanging="360"/>
      </w:pPr>
      <w:rPr>
        <w:rFonts w:cs="Times New Roman"/>
      </w:rPr>
    </w:lvl>
    <w:lvl w:ilvl="7" w:tplc="D176361E" w:tentative="1">
      <w:start w:val="1"/>
      <w:numFmt w:val="lowerLetter"/>
      <w:lvlText w:val="%8."/>
      <w:lvlJc w:val="left"/>
      <w:pPr>
        <w:ind w:left="6120" w:hanging="360"/>
      </w:pPr>
      <w:rPr>
        <w:rFonts w:cs="Times New Roman"/>
      </w:rPr>
    </w:lvl>
    <w:lvl w:ilvl="8" w:tplc="A7561568"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C244553A">
      <w:start w:val="1"/>
      <w:numFmt w:val="bullet"/>
      <w:pStyle w:val="Bullet5"/>
      <w:lvlText w:val=""/>
      <w:lvlJc w:val="left"/>
      <w:pPr>
        <w:tabs>
          <w:tab w:val="num" w:pos="1795"/>
        </w:tabs>
        <w:ind w:left="1792" w:hanging="357"/>
      </w:pPr>
      <w:rPr>
        <w:rFonts w:ascii="Symbol" w:hAnsi="Symbol" w:hint="default"/>
      </w:rPr>
    </w:lvl>
    <w:lvl w:ilvl="1" w:tplc="E62CB4BE">
      <w:start w:val="1"/>
      <w:numFmt w:val="bullet"/>
      <w:lvlText w:val="o"/>
      <w:lvlJc w:val="left"/>
      <w:pPr>
        <w:tabs>
          <w:tab w:val="num" w:pos="1440"/>
        </w:tabs>
        <w:ind w:left="1440" w:hanging="360"/>
      </w:pPr>
      <w:rPr>
        <w:rFonts w:ascii="Courier New" w:hAnsi="Courier New" w:hint="default"/>
      </w:rPr>
    </w:lvl>
    <w:lvl w:ilvl="2" w:tplc="802A6644">
      <w:start w:val="1"/>
      <w:numFmt w:val="bullet"/>
      <w:lvlText w:val=""/>
      <w:lvlJc w:val="left"/>
      <w:pPr>
        <w:tabs>
          <w:tab w:val="num" w:pos="2160"/>
        </w:tabs>
        <w:ind w:left="2160" w:hanging="360"/>
      </w:pPr>
      <w:rPr>
        <w:rFonts w:ascii="Wingdings" w:hAnsi="Wingdings" w:hint="default"/>
      </w:rPr>
    </w:lvl>
    <w:lvl w:ilvl="3" w:tplc="B806428C">
      <w:start w:val="1"/>
      <w:numFmt w:val="bullet"/>
      <w:lvlText w:val=""/>
      <w:lvlJc w:val="left"/>
      <w:pPr>
        <w:tabs>
          <w:tab w:val="num" w:pos="2880"/>
        </w:tabs>
        <w:ind w:left="2880" w:hanging="360"/>
      </w:pPr>
      <w:rPr>
        <w:rFonts w:ascii="Symbol" w:hAnsi="Symbol" w:hint="default"/>
      </w:rPr>
    </w:lvl>
    <w:lvl w:ilvl="4" w:tplc="48C4E734">
      <w:start w:val="1"/>
      <w:numFmt w:val="bullet"/>
      <w:lvlText w:val="o"/>
      <w:lvlJc w:val="left"/>
      <w:pPr>
        <w:tabs>
          <w:tab w:val="num" w:pos="3600"/>
        </w:tabs>
        <w:ind w:left="3600" w:hanging="360"/>
      </w:pPr>
      <w:rPr>
        <w:rFonts w:ascii="Courier New" w:hAnsi="Courier New" w:hint="default"/>
      </w:rPr>
    </w:lvl>
    <w:lvl w:ilvl="5" w:tplc="721AA8B0">
      <w:start w:val="1"/>
      <w:numFmt w:val="bullet"/>
      <w:lvlText w:val=""/>
      <w:lvlJc w:val="left"/>
      <w:pPr>
        <w:tabs>
          <w:tab w:val="num" w:pos="4320"/>
        </w:tabs>
        <w:ind w:left="4320" w:hanging="360"/>
      </w:pPr>
      <w:rPr>
        <w:rFonts w:ascii="Wingdings" w:hAnsi="Wingdings" w:hint="default"/>
      </w:rPr>
    </w:lvl>
    <w:lvl w:ilvl="6" w:tplc="E214C6AE">
      <w:start w:val="1"/>
      <w:numFmt w:val="bullet"/>
      <w:lvlText w:val=""/>
      <w:lvlJc w:val="left"/>
      <w:pPr>
        <w:tabs>
          <w:tab w:val="num" w:pos="5040"/>
        </w:tabs>
        <w:ind w:left="5040" w:hanging="360"/>
      </w:pPr>
      <w:rPr>
        <w:rFonts w:ascii="Symbol" w:hAnsi="Symbol" w:hint="default"/>
      </w:rPr>
    </w:lvl>
    <w:lvl w:ilvl="7" w:tplc="795632F8">
      <w:start w:val="1"/>
      <w:numFmt w:val="bullet"/>
      <w:lvlText w:val="o"/>
      <w:lvlJc w:val="left"/>
      <w:pPr>
        <w:tabs>
          <w:tab w:val="num" w:pos="5760"/>
        </w:tabs>
        <w:ind w:left="5760" w:hanging="360"/>
      </w:pPr>
      <w:rPr>
        <w:rFonts w:ascii="Courier New" w:hAnsi="Courier New" w:hint="default"/>
      </w:rPr>
    </w:lvl>
    <w:lvl w:ilvl="8" w:tplc="BC405E1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40AEBC8C">
      <w:start w:val="1"/>
      <w:numFmt w:val="bullet"/>
      <w:pStyle w:val="Bullet6"/>
      <w:lvlText w:val=""/>
      <w:lvlJc w:val="left"/>
      <w:pPr>
        <w:tabs>
          <w:tab w:val="num" w:pos="2152"/>
        </w:tabs>
        <w:ind w:left="2149" w:hanging="357"/>
      </w:pPr>
      <w:rPr>
        <w:rFonts w:ascii="Symbol" w:hAnsi="Symbol" w:hint="default"/>
      </w:rPr>
    </w:lvl>
    <w:lvl w:ilvl="1" w:tplc="DBAAAAA6">
      <w:start w:val="1"/>
      <w:numFmt w:val="bullet"/>
      <w:lvlText w:val="o"/>
      <w:lvlJc w:val="left"/>
      <w:pPr>
        <w:tabs>
          <w:tab w:val="num" w:pos="1440"/>
        </w:tabs>
        <w:ind w:left="1440" w:hanging="360"/>
      </w:pPr>
      <w:rPr>
        <w:rFonts w:ascii="Courier New" w:hAnsi="Courier New" w:hint="default"/>
      </w:rPr>
    </w:lvl>
    <w:lvl w:ilvl="2" w:tplc="3BF8FA9C">
      <w:start w:val="1"/>
      <w:numFmt w:val="bullet"/>
      <w:lvlText w:val=""/>
      <w:lvlJc w:val="left"/>
      <w:pPr>
        <w:tabs>
          <w:tab w:val="num" w:pos="2160"/>
        </w:tabs>
        <w:ind w:left="2160" w:hanging="360"/>
      </w:pPr>
      <w:rPr>
        <w:rFonts w:ascii="Wingdings" w:hAnsi="Wingdings" w:hint="default"/>
      </w:rPr>
    </w:lvl>
    <w:lvl w:ilvl="3" w:tplc="F300CB88">
      <w:start w:val="1"/>
      <w:numFmt w:val="bullet"/>
      <w:lvlText w:val=""/>
      <w:lvlJc w:val="left"/>
      <w:pPr>
        <w:tabs>
          <w:tab w:val="num" w:pos="2880"/>
        </w:tabs>
        <w:ind w:left="2880" w:hanging="360"/>
      </w:pPr>
      <w:rPr>
        <w:rFonts w:ascii="Symbol" w:hAnsi="Symbol" w:hint="default"/>
      </w:rPr>
    </w:lvl>
    <w:lvl w:ilvl="4" w:tplc="94ECC676">
      <w:start w:val="1"/>
      <w:numFmt w:val="bullet"/>
      <w:lvlText w:val="o"/>
      <w:lvlJc w:val="left"/>
      <w:pPr>
        <w:tabs>
          <w:tab w:val="num" w:pos="3600"/>
        </w:tabs>
        <w:ind w:left="3600" w:hanging="360"/>
      </w:pPr>
      <w:rPr>
        <w:rFonts w:ascii="Courier New" w:hAnsi="Courier New" w:hint="default"/>
      </w:rPr>
    </w:lvl>
    <w:lvl w:ilvl="5" w:tplc="2B027B18">
      <w:start w:val="1"/>
      <w:numFmt w:val="bullet"/>
      <w:lvlText w:val=""/>
      <w:lvlJc w:val="left"/>
      <w:pPr>
        <w:tabs>
          <w:tab w:val="num" w:pos="4320"/>
        </w:tabs>
        <w:ind w:left="4320" w:hanging="360"/>
      </w:pPr>
      <w:rPr>
        <w:rFonts w:ascii="Wingdings" w:hAnsi="Wingdings" w:hint="default"/>
      </w:rPr>
    </w:lvl>
    <w:lvl w:ilvl="6" w:tplc="D33E685A">
      <w:start w:val="1"/>
      <w:numFmt w:val="bullet"/>
      <w:lvlText w:val=""/>
      <w:lvlJc w:val="left"/>
      <w:pPr>
        <w:tabs>
          <w:tab w:val="num" w:pos="5040"/>
        </w:tabs>
        <w:ind w:left="5040" w:hanging="360"/>
      </w:pPr>
      <w:rPr>
        <w:rFonts w:ascii="Symbol" w:hAnsi="Symbol" w:hint="default"/>
      </w:rPr>
    </w:lvl>
    <w:lvl w:ilvl="7" w:tplc="AAAAAE72">
      <w:start w:val="1"/>
      <w:numFmt w:val="bullet"/>
      <w:lvlText w:val="o"/>
      <w:lvlJc w:val="left"/>
      <w:pPr>
        <w:tabs>
          <w:tab w:val="num" w:pos="5760"/>
        </w:tabs>
        <w:ind w:left="5760" w:hanging="360"/>
      </w:pPr>
      <w:rPr>
        <w:rFonts w:ascii="Courier New" w:hAnsi="Courier New" w:hint="default"/>
      </w:rPr>
    </w:lvl>
    <w:lvl w:ilvl="8" w:tplc="E748400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5EFC41FE">
      <w:start w:val="1"/>
      <w:numFmt w:val="upperLetter"/>
      <w:lvlText w:val="%1."/>
      <w:lvlJc w:val="left"/>
      <w:pPr>
        <w:ind w:left="720" w:hanging="360"/>
      </w:pPr>
      <w:rPr>
        <w:rFonts w:cs="Times New Roman" w:hint="default"/>
        <w:b/>
        <w:bCs/>
      </w:rPr>
    </w:lvl>
    <w:lvl w:ilvl="1" w:tplc="0E6E0E8E">
      <w:start w:val="1"/>
      <w:numFmt w:val="lowerLetter"/>
      <w:lvlText w:val="%2."/>
      <w:lvlJc w:val="left"/>
      <w:pPr>
        <w:ind w:left="1440" w:hanging="360"/>
      </w:pPr>
      <w:rPr>
        <w:rFonts w:cs="Times New Roman"/>
      </w:rPr>
    </w:lvl>
    <w:lvl w:ilvl="2" w:tplc="B594A6DE" w:tentative="1">
      <w:start w:val="1"/>
      <w:numFmt w:val="lowerRoman"/>
      <w:lvlText w:val="%3."/>
      <w:lvlJc w:val="right"/>
      <w:pPr>
        <w:ind w:left="2160" w:hanging="180"/>
      </w:pPr>
      <w:rPr>
        <w:rFonts w:cs="Times New Roman"/>
      </w:rPr>
    </w:lvl>
    <w:lvl w:ilvl="3" w:tplc="37A89BF4" w:tentative="1">
      <w:start w:val="1"/>
      <w:numFmt w:val="decimal"/>
      <w:lvlText w:val="%4."/>
      <w:lvlJc w:val="left"/>
      <w:pPr>
        <w:ind w:left="2880" w:hanging="360"/>
      </w:pPr>
      <w:rPr>
        <w:rFonts w:cs="Times New Roman"/>
      </w:rPr>
    </w:lvl>
    <w:lvl w:ilvl="4" w:tplc="584CF690" w:tentative="1">
      <w:start w:val="1"/>
      <w:numFmt w:val="lowerLetter"/>
      <w:lvlText w:val="%5."/>
      <w:lvlJc w:val="left"/>
      <w:pPr>
        <w:ind w:left="3600" w:hanging="360"/>
      </w:pPr>
      <w:rPr>
        <w:rFonts w:cs="Times New Roman"/>
      </w:rPr>
    </w:lvl>
    <w:lvl w:ilvl="5" w:tplc="859E9F54" w:tentative="1">
      <w:start w:val="1"/>
      <w:numFmt w:val="lowerRoman"/>
      <w:lvlText w:val="%6."/>
      <w:lvlJc w:val="right"/>
      <w:pPr>
        <w:ind w:left="4320" w:hanging="180"/>
      </w:pPr>
      <w:rPr>
        <w:rFonts w:cs="Times New Roman"/>
      </w:rPr>
    </w:lvl>
    <w:lvl w:ilvl="6" w:tplc="FFA86C5A" w:tentative="1">
      <w:start w:val="1"/>
      <w:numFmt w:val="decimal"/>
      <w:lvlText w:val="%7."/>
      <w:lvlJc w:val="left"/>
      <w:pPr>
        <w:ind w:left="5040" w:hanging="360"/>
      </w:pPr>
      <w:rPr>
        <w:rFonts w:cs="Times New Roman"/>
      </w:rPr>
    </w:lvl>
    <w:lvl w:ilvl="7" w:tplc="36E07DF2" w:tentative="1">
      <w:start w:val="1"/>
      <w:numFmt w:val="lowerLetter"/>
      <w:lvlText w:val="%8."/>
      <w:lvlJc w:val="left"/>
      <w:pPr>
        <w:ind w:left="5760" w:hanging="360"/>
      </w:pPr>
      <w:rPr>
        <w:rFonts w:cs="Times New Roman"/>
      </w:rPr>
    </w:lvl>
    <w:lvl w:ilvl="8" w:tplc="1ED2D3B0"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7A3E"/>
    <w:rsid w:val="002664E5"/>
    <w:rsid w:val="00267236"/>
    <w:rsid w:val="00272EDA"/>
    <w:rsid w:val="0027300A"/>
    <w:rsid w:val="00273336"/>
    <w:rsid w:val="002770B9"/>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B80"/>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8502F"/>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212B"/>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B59D7"/>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24EE"/>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1C10"/>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40EB"/>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1DE"/>
    <w:rsid w:val="00C475FE"/>
    <w:rsid w:val="00C50B88"/>
    <w:rsid w:val="00C53925"/>
    <w:rsid w:val="00C544F4"/>
    <w:rsid w:val="00C54793"/>
    <w:rsid w:val="00C56332"/>
    <w:rsid w:val="00C56703"/>
    <w:rsid w:val="00C6221C"/>
    <w:rsid w:val="00C62C0B"/>
    <w:rsid w:val="00C6361B"/>
    <w:rsid w:val="00C66D80"/>
    <w:rsid w:val="00C70EA3"/>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6FF4"/>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4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67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2019-02-27T22:00:00Z</dcterms:created>
  <dcterms:modified xsi:type="dcterms:W3CDTF">2019-02-27T22:00:00Z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2019-02-27T22:00:49.7772822Z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25cdb0b7-6ae1-4e84-9e1d-b8ec0ba0e996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