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9559" w14:textId="77777777" w:rsidR="00D61D35" w:rsidRPr="00B27D32" w:rsidRDefault="00271F2B" w:rsidP="00D61D35">
      <w:pPr>
        <w:pStyle w:val="HeadingEULA"/>
      </w:pPr>
      <w:bookmarkStart w:id="0" w:name="_GoBack"/>
      <w:bookmarkEnd w:id="0"/>
      <w:r>
        <w:rPr>
          <w:rFonts w:eastAsia="Tahoma"/>
          <w:lang w:val="pl-PL"/>
        </w:rPr>
        <w:t>POSTANOWIENIA LICENCYJNE DOTYCZĄCE OPROGRAMOWANIA MICROSOFT W WERSJI WSTĘPNEJ</w:t>
      </w:r>
    </w:p>
    <w:p w14:paraId="2CB1955A" w14:textId="77777777" w:rsidR="0061349C" w:rsidRPr="00C035AD" w:rsidRDefault="00271F2B" w:rsidP="0061349C">
      <w:pPr>
        <w:pStyle w:val="HeadingSoftwareTitle"/>
        <w:rPr>
          <w:sz w:val="22"/>
          <w:szCs w:val="22"/>
        </w:rPr>
      </w:pPr>
      <w:r>
        <w:rPr>
          <w:rFonts w:eastAsia="Tahoma"/>
          <w:sz w:val="22"/>
          <w:szCs w:val="22"/>
          <w:lang w:val="pl-PL"/>
        </w:rPr>
        <w:t>VISUAL STUDIO ENTERPRISE 2019, VISUAL STUDIO PROFESSIONAL 2019 i WERSJE PRÓBNE,</w:t>
      </w:r>
      <w:r>
        <w:rPr>
          <w:rFonts w:eastAsia="Tahoma"/>
          <w:sz w:val="22"/>
          <w:szCs w:val="22"/>
          <w:lang w:val="pl-PL"/>
        </w:rPr>
        <w:br/>
        <w:t>a także NARZĘDZIA DIAGNOSTYCZNE, NARZĘDZIA KOMPILACJI i ROZSZERZENIA dla VISUAL STUDIO</w:t>
      </w:r>
    </w:p>
    <w:p w14:paraId="2CB1955B" w14:textId="77777777" w:rsidR="00D61D35" w:rsidRPr="00271F2B" w:rsidRDefault="00271F2B" w:rsidP="00D61D35">
      <w:pPr>
        <w:rPr>
          <w:lang w:val="pl-PL"/>
        </w:rPr>
      </w:pPr>
      <w:r>
        <w:rPr>
          <w:rFonts w:eastAsia="Tahoma"/>
          <w:lang w:val="pl-PL"/>
        </w:rPr>
        <w:t>Niniejsze postanowienia licencyjne stanowią umowę między Licencjobiorcą a Microsoft Corporation (albo, w zależności od miejsca zamieszkania Licencjobiorcy, jednym z podmiotów stowarzyszonych Microsoft Corporation). Postanowienia te dotyczą oprogramowania określonego powyżej. Niniejsze postanowienia mają również zastosowanie do wszelkich usług i aktualizacji Microsoft dla niniejszego oprogramowania, z wyjątkiem tych, którym towarzyszą inne postanowienia.</w:t>
      </w:r>
    </w:p>
    <w:p w14:paraId="2CB1955C" w14:textId="77777777" w:rsidR="00D61D35" w:rsidRPr="00271F2B" w:rsidRDefault="00271F2B" w:rsidP="00D61D35">
      <w:pPr>
        <w:pStyle w:val="PreambleBorderAbove"/>
        <w:rPr>
          <w:lang w:val="pl-PL"/>
        </w:rPr>
      </w:pPr>
      <w:r>
        <w:rPr>
          <w:rFonts w:eastAsia="Tahoma"/>
          <w:lang w:val="pl-PL"/>
        </w:rPr>
        <w:t>JEŚLI LICENCJOBIORCA PRZESTRZEGA NINIEJSZYCH POSTANOWIEŃ LICENCYJNYCH, UZYSKUJE OPISANE PONIŻEJ PRAWA.</w:t>
      </w:r>
    </w:p>
    <w:p w14:paraId="2CB1955D" w14:textId="77777777" w:rsidR="00D00DB4" w:rsidRPr="00271F2B" w:rsidRDefault="00271F2B" w:rsidP="00634A23">
      <w:pPr>
        <w:pStyle w:val="ListParagraph"/>
        <w:numPr>
          <w:ilvl w:val="0"/>
          <w:numId w:val="36"/>
        </w:numPr>
        <w:ind w:left="360"/>
        <w:outlineLvl w:val="0"/>
        <w:rPr>
          <w:lang w:val="pl-PL"/>
        </w:rPr>
      </w:pPr>
      <w:r>
        <w:rPr>
          <w:rFonts w:eastAsia="Tahoma"/>
          <w:b/>
          <w:bCs/>
          <w:lang w:val="pl-PL"/>
        </w:rPr>
        <w:t xml:space="preserve">OKRES UŻYTKOWANIA OPROGRAMOWANIA PRÓBNEGO. </w:t>
      </w:r>
      <w:r>
        <w:rPr>
          <w:rFonts w:eastAsia="Tahoma"/>
          <w:lang w:val="pl-PL"/>
        </w:rPr>
        <w:t xml:space="preserve">Licencjobiorca może korzystać z dowolnej liczby kopii oprogramowania w wersji próbnej na swoich urządzeniach. Licencjobiorca może jedynie używać wersji próbnej oprogramowania tylko do celów własnej ewaluacji i jedynie przez okres próbny. Licencjobiorca nie może rozpowszechniać ani wdrażać w środowisku produkcyjnym aplikacji utworzonych przy użyciu wersji próbnej. Licencjobiorca może przeprowadzać testy obciążenia dla maksymalnie 250 wirtualnych użytkowników podczas okresu próbnego. </w:t>
      </w:r>
    </w:p>
    <w:p w14:paraId="2CB1955E" w14:textId="77777777" w:rsidR="00D00DB4" w:rsidRPr="00271F2B" w:rsidRDefault="00271F2B" w:rsidP="00B07395">
      <w:pPr>
        <w:ind w:left="360"/>
        <w:contextualSpacing/>
        <w:rPr>
          <w:b/>
          <w:lang w:val="pl-PL"/>
        </w:rPr>
      </w:pPr>
      <w:r>
        <w:rPr>
          <w:rFonts w:eastAsia="Tahoma"/>
          <w:lang w:val="pl-PL"/>
        </w:rPr>
        <w:t xml:space="preserve">Okres próbny trwa trzydzieści (30) dni od dnia instalacji wersji próbnej i można go przedłużyć o dozwolony okres przedłużenia. Gdy okres próbny dobiegnie końca, wersja próbna przestanie działać. Licencjobiorca może w dowolnym momencie przekształcić swoje prawa do wersji próbnej na pełne prawa do używania opisane poniżej przez zalogowanie się za pomocą swojego Konta Microsoft, które jest powiązane z prawidłowo licencjonowaną subskrypcją Visual Studio. </w:t>
      </w:r>
    </w:p>
    <w:p w14:paraId="2CB1955F" w14:textId="77777777" w:rsidR="00D61D35" w:rsidRPr="00BE609E" w:rsidRDefault="00271F2B" w:rsidP="00634A23">
      <w:pPr>
        <w:pStyle w:val="Heading1"/>
        <w:numPr>
          <w:ilvl w:val="0"/>
          <w:numId w:val="36"/>
        </w:numPr>
        <w:ind w:left="360"/>
      </w:pPr>
      <w:r>
        <w:rPr>
          <w:rFonts w:eastAsia="Tahoma"/>
          <w:lang w:val="pl-PL"/>
        </w:rPr>
        <w:t>PRAWA DO INSTALACJI I UŻYWANIA</w:t>
      </w:r>
    </w:p>
    <w:p w14:paraId="2CB19560" w14:textId="77777777" w:rsidR="000C02D6" w:rsidRPr="00271F2B" w:rsidRDefault="00271F2B" w:rsidP="00634A23">
      <w:pPr>
        <w:pStyle w:val="Heading2"/>
        <w:widowControl w:val="0"/>
        <w:numPr>
          <w:ilvl w:val="1"/>
          <w:numId w:val="36"/>
        </w:numPr>
        <w:ind w:left="720"/>
        <w:rPr>
          <w:rFonts w:eastAsia="SimSun"/>
          <w:b w:val="0"/>
          <w:bCs w:val="0"/>
          <w:lang w:val="pl-PL"/>
        </w:rPr>
      </w:pPr>
      <w:r>
        <w:rPr>
          <w:rFonts w:eastAsia="Tahoma"/>
          <w:lang w:val="pl-PL"/>
        </w:rPr>
        <w:t xml:space="preserve">Postanowienia ogólne. </w:t>
      </w:r>
      <w:r>
        <w:rPr>
          <w:rFonts w:eastAsia="Tahoma"/>
          <w:b w:val="0"/>
          <w:bCs w:val="0"/>
          <w:lang w:val="pl-PL"/>
        </w:rPr>
        <w:t>Licencjobiorca może korzystać z kopii oprogramowania w celu rozwijania i testowania aplikacji Licencjobiorcy. Powyższe dotyczy korzystania z kopii oprogramowania na serwerach wewnętrznych, które są przeznaczone wyłącznie do użytku własnego Licencjobiorcy. Licencjobiorca nie może rozdzielać składników oprogramowania (o ile w niniejszej umowie nie określono inaczej) i uruchamiać ich w środowisku produkcyjnym lub na urządzeniach osób trzecich lub w celu innym niż projektowanie i testowanie aplikacji Licencjobiorcy. Uruchamianie oprogramowania na platformie Microsoft Azure może wymagać oddzielnych opłat z tytułu korzystania online.</w:t>
      </w:r>
    </w:p>
    <w:p w14:paraId="2CB19561" w14:textId="77777777" w:rsidR="00F15B5D" w:rsidRPr="00271F2B" w:rsidRDefault="00271F2B" w:rsidP="00634A23">
      <w:pPr>
        <w:pStyle w:val="Heading2"/>
        <w:widowControl w:val="0"/>
        <w:numPr>
          <w:ilvl w:val="1"/>
          <w:numId w:val="36"/>
        </w:numPr>
        <w:ind w:left="720"/>
        <w:rPr>
          <w:b w:val="0"/>
          <w:lang w:val="pl-PL"/>
        </w:rPr>
      </w:pPr>
      <w:r>
        <w:rPr>
          <w:rFonts w:eastAsia="Tahoma"/>
          <w:lang w:val="pl-PL"/>
        </w:rPr>
        <w:t>Obciążenia.</w:t>
      </w:r>
      <w:r>
        <w:rPr>
          <w:rFonts w:eastAsia="Tahoma"/>
          <w:b w:val="0"/>
          <w:bCs w:val="0"/>
          <w:lang w:val="pl-PL"/>
        </w:rPr>
        <w:t xml:space="preserve"> Niniejsze postanowienia licencyjne mają zastosowanie do używania przez Licencjobiorcę obciążeń udostępnionych mu w ramach oprogramowania</w:t>
      </w:r>
      <w:r>
        <w:rPr>
          <w:rFonts w:eastAsia="Tahoma"/>
          <w:lang w:val="pl-PL"/>
        </w:rPr>
        <w:t xml:space="preserve"> </w:t>
      </w:r>
      <w:r>
        <w:rPr>
          <w:rFonts w:eastAsia="Tahoma"/>
          <w:b w:val="0"/>
          <w:bCs w:val="0"/>
          <w:lang w:val="pl-PL"/>
        </w:rPr>
        <w:t xml:space="preserve">z wyjątkiem zakresu, w jakim obciążenie lub składnik obciążenia jest udostępniany na mocy innych postanowień. </w:t>
      </w:r>
    </w:p>
    <w:p w14:paraId="2CB19562" w14:textId="77777777" w:rsidR="001C033E" w:rsidRPr="00271F2B" w:rsidRDefault="00271F2B" w:rsidP="00634A23">
      <w:pPr>
        <w:pStyle w:val="Heading2"/>
        <w:widowControl w:val="0"/>
        <w:numPr>
          <w:ilvl w:val="1"/>
          <w:numId w:val="36"/>
        </w:numPr>
        <w:ind w:left="720"/>
        <w:rPr>
          <w:b w:val="0"/>
          <w:lang w:val="pl-PL"/>
        </w:rPr>
      </w:pPr>
      <w:r>
        <w:rPr>
          <w:rFonts w:eastAsia="Tahoma"/>
          <w:lang w:val="pl-PL"/>
        </w:rPr>
        <w:t xml:space="preserve">Używanie w chmurze. </w:t>
      </w:r>
      <w:r>
        <w:rPr>
          <w:rFonts w:eastAsia="Tahoma"/>
          <w:b w:val="0"/>
          <w:bCs w:val="0"/>
          <w:lang w:val="pl-PL"/>
        </w:rPr>
        <w:t>Licencjobiorca może uruchomić wersję wstępną oprogramowania Visual Studio Enterprise 2019 oraz Visual Studio Professional 2019 na platformie Microsoft Azure.</w:t>
      </w:r>
    </w:p>
    <w:p w14:paraId="2CB19563" w14:textId="77777777" w:rsidR="00685AB1" w:rsidRPr="00271F2B" w:rsidRDefault="00271F2B" w:rsidP="00634A23">
      <w:pPr>
        <w:pStyle w:val="Heading2"/>
        <w:widowControl w:val="0"/>
        <w:numPr>
          <w:ilvl w:val="1"/>
          <w:numId w:val="36"/>
        </w:numPr>
        <w:ind w:left="720"/>
        <w:rPr>
          <w:lang w:val="pl-PL"/>
        </w:rPr>
      </w:pPr>
      <w:r>
        <w:rPr>
          <w:rFonts w:eastAsia="Tahoma"/>
          <w:lang w:val="pl-PL"/>
        </w:rPr>
        <w:t xml:space="preserve">Usługi online w Oprogramowaniu. </w:t>
      </w:r>
      <w:r>
        <w:rPr>
          <w:rFonts w:eastAsia="Tahoma"/>
          <w:b w:val="0"/>
          <w:bCs w:val="0"/>
          <w:lang w:val="pl-PL"/>
        </w:rPr>
        <w:t>Niektóre funkcje oprogramowania wykorzystują usługi online w celu dostarczania Licencjobiorcy informacji o aktualizacjach lub rozszerzeniach oprogramowania, a także umożliwienia pobierania treści, współpracy z innymi użytkownikami lub w innego rodzaju uzupełnienia wrażeń Licencjobiorcy. Zastosowane w niniejszej umowie pojęcie „oprogramowanie” obejmuje te funkcje usług online.</w:t>
      </w:r>
    </w:p>
    <w:p w14:paraId="2CB19564" w14:textId="77777777" w:rsidR="001A7157" w:rsidRPr="00271F2B" w:rsidRDefault="00271F2B" w:rsidP="00634A23">
      <w:pPr>
        <w:pStyle w:val="Heading2"/>
        <w:widowControl w:val="0"/>
        <w:numPr>
          <w:ilvl w:val="1"/>
          <w:numId w:val="36"/>
        </w:numPr>
        <w:ind w:left="720"/>
        <w:rPr>
          <w:lang w:val="pl-PL"/>
        </w:rPr>
      </w:pPr>
      <w:r>
        <w:rPr>
          <w:rFonts w:eastAsia="Tahoma"/>
          <w:lang w:val="pl-PL"/>
        </w:rPr>
        <w:t>Używanie do celów demonstracyjnych</w:t>
      </w:r>
      <w:r>
        <w:rPr>
          <w:rFonts w:eastAsia="Tahoma"/>
          <w:b w:val="0"/>
          <w:bCs w:val="0"/>
          <w:lang w:val="pl-PL"/>
        </w:rPr>
        <w:t>. Dozwolone powyżej sposoby używania obejmują używanie oprogramowania w celu demonstracji aplikacji użytkownika.</w:t>
      </w:r>
    </w:p>
    <w:p w14:paraId="2CB19565" w14:textId="77777777" w:rsidR="0008428F" w:rsidRPr="00271F2B" w:rsidRDefault="00271F2B" w:rsidP="007C4519">
      <w:pPr>
        <w:pStyle w:val="Heading1"/>
        <w:widowControl w:val="0"/>
        <w:numPr>
          <w:ilvl w:val="0"/>
          <w:numId w:val="36"/>
        </w:numPr>
        <w:tabs>
          <w:tab w:val="num" w:pos="540"/>
        </w:tabs>
        <w:ind w:left="357"/>
        <w:rPr>
          <w:rFonts w:eastAsia="SimSun"/>
          <w:b w:val="0"/>
          <w:bCs w:val="0"/>
          <w:lang w:val="pl-PL"/>
        </w:rPr>
      </w:pPr>
      <w:r>
        <w:rPr>
          <w:rFonts w:eastAsia="Tahoma"/>
          <w:lang w:val="pl-PL"/>
        </w:rPr>
        <w:t>OPROGRAMOWANIE W WERSJI WSTĘPNEJ</w:t>
      </w:r>
      <w:r>
        <w:rPr>
          <w:rFonts w:eastAsia="Tahoma"/>
          <w:b w:val="0"/>
          <w:bCs w:val="0"/>
          <w:lang w:val="pl-PL"/>
        </w:rPr>
        <w:t xml:space="preserve">. Niniejsze oprogramowanie jest w wersji wstępnej. Może zatem nie działać poprawnie lub działać inaczej niż jego ostateczna wersja. Microsoft może zamienić wersję wstępną na ostateczną wersję komercyjną. Microsoft nie ma obowiązku świadczyć na rzecz </w:t>
      </w:r>
      <w:r>
        <w:rPr>
          <w:rFonts w:eastAsia="Tahoma"/>
          <w:b w:val="0"/>
          <w:bCs w:val="0"/>
          <w:lang w:val="pl-PL"/>
        </w:rPr>
        <w:lastRenderedPageBreak/>
        <w:t>Licencjobiorcy usług konserwacji, pomocy technicznej ani aktualizacji w związku z oprogramowaniem.</w:t>
      </w:r>
    </w:p>
    <w:p w14:paraId="2CB19566" w14:textId="77777777" w:rsidR="00C364C7" w:rsidRPr="008336F6" w:rsidRDefault="00271F2B" w:rsidP="007C4519">
      <w:pPr>
        <w:pStyle w:val="Heading1"/>
        <w:widowControl w:val="0"/>
        <w:numPr>
          <w:ilvl w:val="0"/>
          <w:numId w:val="36"/>
        </w:numPr>
        <w:tabs>
          <w:tab w:val="num" w:pos="540"/>
        </w:tabs>
        <w:ind w:left="357"/>
        <w:rPr>
          <w:rFonts w:eastAsia="SimSun"/>
          <w:b w:val="0"/>
          <w:bCs w:val="0"/>
        </w:rPr>
      </w:pPr>
      <w:r>
        <w:rPr>
          <w:rFonts w:eastAsia="Tahoma"/>
          <w:lang w:val="pl-PL"/>
        </w:rPr>
        <w:t xml:space="preserve">UWAGI NA TEMAT PRODUKTU. </w:t>
      </w:r>
      <w:r>
        <w:rPr>
          <w:rFonts w:eastAsia="Tahoma"/>
          <w:b w:val="0"/>
          <w:bCs w:val="0"/>
          <w:lang w:val="pl-PL"/>
        </w:rPr>
        <w:t>Podzielenie się z Microsoft uwagami na temat oprogramowania jest równoznaczne z nieodpłatnym udzieleniem Microsoft prawa do używania, udostępniania oraz komercjalizacji tych uwag w dowolny sposób oraz w dowolnym celu. Licencjobiorca nie będzie przekazywać uwag, które byłyby objęte licencją, na mocy której Microsoft zmuszony byłby do udzielania osobom trzecim licencji na swoje oprogramowanie lub dokumentację z powodu włączenia do nich takich uwag. Prawa te pozostają w mocy po wygaśnięciu niniejszej umowy.</w:t>
      </w:r>
    </w:p>
    <w:p w14:paraId="2CB19567" w14:textId="77777777" w:rsidR="00D61D35" w:rsidRPr="008336F6" w:rsidRDefault="00271F2B" w:rsidP="007C4519">
      <w:pPr>
        <w:pStyle w:val="Heading1"/>
        <w:numPr>
          <w:ilvl w:val="0"/>
          <w:numId w:val="36"/>
        </w:numPr>
        <w:ind w:left="360"/>
      </w:pPr>
      <w:r>
        <w:rPr>
          <w:rFonts w:eastAsia="Tahoma"/>
          <w:lang w:val="pl-PL"/>
        </w:rPr>
        <w:t>POSTANOWIENIA DOTYCZĄCE POSZCZEGÓLNYCH SKŁADNIKÓW.</w:t>
      </w:r>
    </w:p>
    <w:p w14:paraId="2CB19568" w14:textId="77777777" w:rsidR="00D61D35" w:rsidRPr="00271F2B" w:rsidRDefault="00271F2B" w:rsidP="007C4519">
      <w:pPr>
        <w:pStyle w:val="Heading2"/>
        <w:numPr>
          <w:ilvl w:val="1"/>
          <w:numId w:val="36"/>
        </w:numPr>
        <w:ind w:left="720"/>
        <w:rPr>
          <w:lang w:val="pl-PL"/>
        </w:rPr>
      </w:pPr>
      <w:r>
        <w:rPr>
          <w:rFonts w:eastAsia="Tahoma"/>
          <w:lang w:val="pl-PL"/>
        </w:rPr>
        <w:t xml:space="preserve">Narzędzia. </w:t>
      </w:r>
      <w:r>
        <w:rPr>
          <w:rFonts w:eastAsia="Tahoma"/>
          <w:b w:val="0"/>
          <w:bCs w:val="0"/>
          <w:lang w:val="pl-PL"/>
        </w:rPr>
        <w:t xml:space="preserve">Oprogramowanie zawiera elementy z Listy narzędzi znajdującej się na stronie </w:t>
      </w:r>
      <w:r>
        <w:rPr>
          <w:rFonts w:eastAsia="Tahoma" w:cs="Times New Roman"/>
          <w:b w:val="0"/>
          <w:bCs w:val="0"/>
          <w:color w:val="0000FF"/>
          <w:u w:val="single"/>
          <w:lang w:val="pl-PL"/>
        </w:rPr>
        <w:t>https://aka.ms/vs/16/utilities</w:t>
      </w:r>
      <w:r>
        <w:rPr>
          <w:rFonts w:eastAsia="Tahoma"/>
          <w:b w:val="0"/>
          <w:bCs w:val="0"/>
          <w:lang w:val="pl-PL"/>
        </w:rPr>
        <w:t>. Licencjobiorca może dokonywać kopiowania i instalacji tych składników na własnych urządzeniach w celu debugowania i wdrażania aplikacji oraz baz danych, które Licencjobiorca opracował przy użyciu oprogramowania. Narzędzia są przeznaczone do tymczasowego użycia. Firma Microsoft może nie być w stanie dokonać naprawy lub aktualizacji Narzędzi niezależnie od reszty oprogramowania. Niektóre Narzędzia z definicji mogą umożliwiać osobom trzecim dostęp do urządzeń, na których Narzędzia zostały zainstalowane. Po zakończeniu operacji debugowania lub wdrażania aplikacji i baz danych zaleca się usunięcie wszystkich zainstalowanych narzędzi. Firma Microsoft nie ponosi odpowiedzialności za osoby trzecie korzystające lub uzyskujące dostęp do urządzeń, aplikacji lub baz danych na urządzeniach, na których zainstalowano Narzędzia.</w:t>
      </w:r>
    </w:p>
    <w:p w14:paraId="2CB19569" w14:textId="77777777" w:rsidR="00D61D35" w:rsidRPr="00271F2B" w:rsidRDefault="00271F2B" w:rsidP="007C4519">
      <w:pPr>
        <w:pStyle w:val="Heading2"/>
        <w:widowControl w:val="0"/>
        <w:numPr>
          <w:ilvl w:val="1"/>
          <w:numId w:val="36"/>
        </w:numPr>
        <w:ind w:left="720"/>
        <w:rPr>
          <w:b w:val="0"/>
          <w:lang w:val="pl-PL"/>
        </w:rPr>
      </w:pPr>
      <w:r>
        <w:rPr>
          <w:rFonts w:eastAsia="Tahoma"/>
          <w:lang w:val="pl-PL"/>
        </w:rPr>
        <w:t>Urządzenia z Kompilacją i narzędzia Visual Studio Build.</w:t>
      </w:r>
      <w:r>
        <w:rPr>
          <w:rFonts w:eastAsia="Tahoma"/>
          <w:b w:val="0"/>
          <w:bCs w:val="0"/>
          <w:lang w:val="pl-PL"/>
        </w:rPr>
        <w:t xml:space="preserve"> Licencjobiorca może kopiować pliki z oprogramowania lub narzędzi Visual Studio Build Tools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na platformie Microsoft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opracowanych poprzez korzystanie z oprogramowania oraz uruchamiania testów jakości i wydajności tych aplikacji w ramach procesu kompilacji.</w:t>
      </w:r>
    </w:p>
    <w:p w14:paraId="2CB1956A" w14:textId="77777777" w:rsidR="00D61D35" w:rsidRPr="00271F2B" w:rsidRDefault="00271F2B" w:rsidP="007C4519">
      <w:pPr>
        <w:pStyle w:val="Heading2"/>
        <w:numPr>
          <w:ilvl w:val="1"/>
          <w:numId w:val="36"/>
        </w:numPr>
        <w:ind w:left="720"/>
        <w:rPr>
          <w:lang w:val="pl-PL"/>
        </w:rPr>
      </w:pPr>
      <w:r>
        <w:rPr>
          <w:rFonts w:eastAsia="Tahoma"/>
          <w:lang w:val="pl-PL"/>
        </w:rPr>
        <w:t xml:space="preserve">Czcionki. </w:t>
      </w:r>
      <w:r>
        <w:rPr>
          <w:rFonts w:eastAsia="Tahoma"/>
          <w:b w:val="0"/>
          <w:bCs w:val="0"/>
          <w:lang w:val="pl-PL"/>
        </w:rPr>
        <w:t>Gdy oprogramowanie jest uruchomione, Licencjobiorca może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drukować zawartość.</w:t>
      </w:r>
    </w:p>
    <w:p w14:paraId="2CB1956B" w14:textId="77777777" w:rsidR="00D61D35" w:rsidRPr="00BE609E" w:rsidRDefault="00271F2B" w:rsidP="007C4519">
      <w:pPr>
        <w:pStyle w:val="Heading2"/>
        <w:numPr>
          <w:ilvl w:val="1"/>
          <w:numId w:val="36"/>
        </w:numPr>
        <w:ind w:left="720"/>
      </w:pPr>
      <w:r>
        <w:rPr>
          <w:rFonts w:eastAsia="Tahoma"/>
          <w:lang w:val="pl-PL"/>
        </w:rPr>
        <w:t xml:space="preserve">Licencje na inne składniki. </w:t>
      </w:r>
    </w:p>
    <w:p w14:paraId="2CB1956C" w14:textId="77777777" w:rsidR="00D61D35" w:rsidRPr="00271F2B" w:rsidRDefault="00271F2B" w:rsidP="00D61D35">
      <w:pPr>
        <w:pStyle w:val="Bullet4"/>
        <w:rPr>
          <w:lang w:val="pl-PL"/>
        </w:rPr>
      </w:pPr>
      <w:r>
        <w:rPr>
          <w:rFonts w:eastAsia="Tahoma"/>
          <w:b/>
          <w:bCs/>
          <w:lang w:val="pl-PL"/>
        </w:rPr>
        <w:t>Platformy Microsoft</w:t>
      </w:r>
      <w:r>
        <w:rPr>
          <w:rFonts w:eastAsia="Tahoma"/>
          <w:lang w:val="pl-PL"/>
        </w:rPr>
        <w:t xml:space="preserve">.Oprogramowanie może zawierać składniki pochodzące z Microsoft Windows, Microsoft Windows Server, Microsoft SQL Server, Microsoft Exchange, Microsoft Office albo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bezpośrednio w katalogu instalacyjnym, to takie postanowienia mają wówczas charakter nadrzędny. </w:t>
      </w:r>
    </w:p>
    <w:p w14:paraId="2CB1956D" w14:textId="77777777" w:rsidR="00B43AB6" w:rsidRPr="00271F2B" w:rsidRDefault="00271F2B" w:rsidP="00D90F19">
      <w:pPr>
        <w:pStyle w:val="Bullet4"/>
        <w:rPr>
          <w:lang w:val="pl-PL"/>
        </w:rPr>
      </w:pPr>
      <w:r>
        <w:rPr>
          <w:rFonts w:eastAsia="Tahoma"/>
          <w:b/>
          <w:bCs/>
          <w:lang w:val="pl-PL"/>
        </w:rPr>
        <w:t xml:space="preserve">Składniki pochodzące od innych firm. </w:t>
      </w:r>
      <w:r>
        <w:rPr>
          <w:rFonts w:eastAsia="Tahoma"/>
          <w:lang w:val="pl-PL"/>
        </w:rPr>
        <w:t xml:space="preserve">Oprogramowanie może zawierać składniki pochodzące od osób trzecich, objęte odrębnymi informacjami prawnymi lub podlegające innym umowom, zgodnie z ewentualnym opisem w plikach ThirdPartyNotices dołączonych do oprogramowania. </w:t>
      </w:r>
    </w:p>
    <w:p w14:paraId="2CB1956E" w14:textId="77777777" w:rsidR="00D61D35" w:rsidRPr="00271F2B" w:rsidRDefault="00271F2B" w:rsidP="00BB2080">
      <w:pPr>
        <w:pStyle w:val="Heading2"/>
        <w:numPr>
          <w:ilvl w:val="1"/>
          <w:numId w:val="36"/>
        </w:numPr>
        <w:ind w:left="720"/>
        <w:rPr>
          <w:lang w:val="pl-PL"/>
        </w:rPr>
      </w:pPr>
      <w:r>
        <w:rPr>
          <w:rFonts w:eastAsia="Tahoma"/>
          <w:lang w:val="pl-PL"/>
        </w:rPr>
        <w:t>Menedżery pakietów</w:t>
      </w:r>
      <w:r>
        <w:rPr>
          <w:rFonts w:eastAsia="Tahoma"/>
          <w:b w:val="0"/>
          <w:bCs w:val="0"/>
          <w:lang w:val="pl-PL"/>
        </w:rPr>
        <w:t>. Oprogramowanie zawiera menedżery pakietów, takie jak NuGet, które dają Licencjobiorcy możliwość pobierania innych pakietów oprogramowania pochodzącego od Microsoft i osób trzecich w celu używania ich w aplikacjach Licencjobiorcy. Pakiety te podlegają swoim własnym licencjom, a nie niniejszym postanowieniom licencyjnym. Microsoft nie rozpowszechnia żadnych pakietów osób trzecich, a także nie udziela na nie licencji ani żadnej gwarancji.</w:t>
      </w:r>
    </w:p>
    <w:p w14:paraId="2CB1956F" w14:textId="77777777" w:rsidR="00D61D35" w:rsidRPr="00271F2B" w:rsidRDefault="00271F2B" w:rsidP="00BB2080">
      <w:pPr>
        <w:pStyle w:val="Heading1"/>
        <w:numPr>
          <w:ilvl w:val="0"/>
          <w:numId w:val="36"/>
        </w:numPr>
        <w:ind w:left="360"/>
        <w:rPr>
          <w:lang w:val="pl-PL"/>
        </w:rPr>
      </w:pPr>
      <w:r>
        <w:rPr>
          <w:rFonts w:eastAsia="Tahoma"/>
          <w:lang w:val="pl-PL"/>
        </w:rPr>
        <w:t>KOD DYSTRYBUCYJNY.</w:t>
      </w:r>
      <w:r>
        <w:rPr>
          <w:rFonts w:eastAsia="Tahoma"/>
          <w:b w:val="0"/>
          <w:bCs w:val="0"/>
          <w:lang w:val="pl-PL"/>
        </w:rPr>
        <w:t xml:space="preserve"> Licencjobiorca może rozpowszechniać w swoich aplikacjach kod zawarty w oprogramowaniu, zgodnie z postanowieniami niniejszej Sekcji. Na potrzeby tego punktu 6 termin </w:t>
      </w:r>
      <w:r>
        <w:rPr>
          <w:rFonts w:eastAsia="Tahoma"/>
          <w:b w:val="0"/>
          <w:bCs w:val="0"/>
          <w:lang w:val="pl-PL"/>
        </w:rPr>
        <w:lastRenderedPageBreak/>
        <w:t>„rozpowszechnianie” obejmuje również wdrażanie aplikacji Licencjobiorcy w celu udostępnienia ich w Internecie osobom trzecim.</w:t>
      </w:r>
    </w:p>
    <w:p w14:paraId="2CB19570" w14:textId="77777777" w:rsidR="00D61D35" w:rsidRPr="00271F2B" w:rsidRDefault="00271F2B" w:rsidP="00BB2080">
      <w:pPr>
        <w:pStyle w:val="Heading2"/>
        <w:numPr>
          <w:ilvl w:val="1"/>
          <w:numId w:val="36"/>
        </w:numPr>
        <w:ind w:left="720"/>
        <w:rPr>
          <w:lang w:val="pl-PL"/>
        </w:rPr>
      </w:pPr>
      <w:r>
        <w:rPr>
          <w:rFonts w:eastAsia="Tahoma"/>
          <w:lang w:val="pl-PL"/>
        </w:rPr>
        <w:t>Prawa do używania i rozpowszechniania.</w:t>
      </w:r>
      <w:r>
        <w:rPr>
          <w:rFonts w:eastAsia="Tahoma"/>
          <w:b w:val="0"/>
          <w:bCs w:val="0"/>
          <w:lang w:val="pl-PL"/>
        </w:rPr>
        <w:t xml:space="preserve"> Kod i inne pliki wymienione poniżej stanowią „Kod Dystrybucyjny”.</w:t>
      </w:r>
    </w:p>
    <w:p w14:paraId="2CB19571" w14:textId="77777777" w:rsidR="00D61D35" w:rsidRPr="00271F2B" w:rsidRDefault="00271F2B" w:rsidP="00D61D35">
      <w:pPr>
        <w:pStyle w:val="Bullet4"/>
        <w:rPr>
          <w:lang w:val="pl-PL"/>
        </w:rPr>
      </w:pPr>
      <w:r>
        <w:rPr>
          <w:rFonts w:eastAsia="Tahoma"/>
          <w:b/>
          <w:bCs/>
          <w:lang w:val="pl-PL"/>
        </w:rPr>
        <w:t>Lista Dystrybucyjna.</w:t>
      </w:r>
      <w:r>
        <w:rPr>
          <w:rFonts w:eastAsia="Tahoma"/>
          <w:lang w:val="pl-PL"/>
        </w:rPr>
        <w:t xml:space="preserve"> Licencjobiorca może kopiować i rozpowszechniać w postaci kodu wynikowego kod wyszczególniony na Liście Dystrybucyjnej znajdującej się pod adresem </w:t>
      </w:r>
      <w:r>
        <w:rPr>
          <w:rFonts w:eastAsia="Tahoma" w:cs="Times New Roman"/>
          <w:color w:val="0000FF"/>
          <w:u w:val="single"/>
          <w:lang w:val="pl-PL"/>
        </w:rPr>
        <w:t>https://aka.ms/vs/16/redistribution.</w:t>
      </w:r>
    </w:p>
    <w:p w14:paraId="2CB19572" w14:textId="77777777" w:rsidR="00D61D35" w:rsidRPr="00271F2B" w:rsidRDefault="00271F2B" w:rsidP="00D61D35">
      <w:pPr>
        <w:pStyle w:val="Bullet4"/>
        <w:rPr>
          <w:lang w:val="pl-PL"/>
        </w:rPr>
      </w:pPr>
      <w:r>
        <w:rPr>
          <w:rFonts w:eastAsia="Tahoma"/>
          <w:b/>
          <w:bCs/>
          <w:lang w:val="pl-PL"/>
        </w:rPr>
        <w:t>Kod przykładowy, szablony i style</w:t>
      </w:r>
      <w:r>
        <w:rPr>
          <w:rFonts w:eastAsia="Tahoma"/>
          <w:lang w:val="pl-PL"/>
        </w:rPr>
        <w:t>. Licencjobiorca może kopiować, modyfikować i rozpowszechniać w postaci kodu źródłowego i wynikowego kod oznaczony jako „sample”, „template”, „simple styles” lub „sketch styles”.</w:t>
      </w:r>
    </w:p>
    <w:p w14:paraId="2CB19573" w14:textId="77777777" w:rsidR="00D61D35" w:rsidRPr="00271F2B" w:rsidRDefault="00271F2B" w:rsidP="00D61D35">
      <w:pPr>
        <w:pStyle w:val="Bullet4"/>
        <w:rPr>
          <w:lang w:val="pl-PL"/>
        </w:rPr>
      </w:pPr>
      <w:r>
        <w:rPr>
          <w:rFonts w:eastAsia="Tahoma"/>
          <w:b/>
          <w:bCs/>
          <w:lang w:val="pl-PL"/>
        </w:rPr>
        <w:t>Rozpowszechnianie przez osoby trzecie.</w:t>
      </w:r>
      <w:r>
        <w:rPr>
          <w:rFonts w:eastAsia="Tahoma"/>
          <w:lang w:val="pl-PL"/>
        </w:rPr>
        <w:t xml:space="preserve"> Licencjobiorca może zezwolić dystrybutorom swoich aplikacji na kopiowanie i rozpowszechnianie Kodu Dystrybucyjnego jako części tych aplikacji.</w:t>
      </w:r>
    </w:p>
    <w:p w14:paraId="2CB19574" w14:textId="77777777" w:rsidR="00D61D35" w:rsidRPr="00271F2B" w:rsidRDefault="00271F2B" w:rsidP="00BB2080">
      <w:pPr>
        <w:pStyle w:val="Heading2"/>
        <w:numPr>
          <w:ilvl w:val="1"/>
          <w:numId w:val="36"/>
        </w:numPr>
        <w:ind w:left="720"/>
        <w:rPr>
          <w:lang w:val="pl-PL"/>
        </w:rPr>
      </w:pPr>
      <w:r>
        <w:rPr>
          <w:rFonts w:eastAsia="Tahoma"/>
          <w:lang w:val="pl-PL"/>
        </w:rPr>
        <w:t xml:space="preserve">Wymagania dotyczące rozpowszechniania. </w:t>
      </w:r>
      <w:r>
        <w:rPr>
          <w:rFonts w:eastAsia="Tahoma"/>
          <w:b w:val="0"/>
          <w:bCs w:val="0"/>
          <w:lang w:val="pl-PL"/>
        </w:rPr>
        <w:t>W przypadku każdego rozpowszechnianego przez siebie Kodu Dystrybucyjnego Licencjobiorca musi:</w:t>
      </w:r>
    </w:p>
    <w:p w14:paraId="2CB19575" w14:textId="77777777" w:rsidR="00D61D35" w:rsidRPr="00271F2B" w:rsidRDefault="00271F2B" w:rsidP="00D61D35">
      <w:pPr>
        <w:pStyle w:val="Bullet4"/>
        <w:rPr>
          <w:lang w:val="pl-PL"/>
        </w:rPr>
      </w:pPr>
      <w:r>
        <w:rPr>
          <w:rFonts w:eastAsia="Tahoma"/>
          <w:lang w:val="pl-PL"/>
        </w:rPr>
        <w:t>dodawać do niego w swoich aplikacjach znaczące i podstawowe funkcje oraz</w:t>
      </w:r>
    </w:p>
    <w:p w14:paraId="2CB19576" w14:textId="77777777" w:rsidR="00A763C3" w:rsidRPr="00271F2B" w:rsidRDefault="00271F2B" w:rsidP="00D61D35">
      <w:pPr>
        <w:pStyle w:val="Bullet4"/>
        <w:rPr>
          <w:lang w:val="pl-PL"/>
        </w:rPr>
      </w:pPr>
      <w:r>
        <w:rPr>
          <w:rFonts w:eastAsia="Tahoma"/>
          <w:lang w:val="pl-PL"/>
        </w:rPr>
        <w:t>wymagać od dystrybutorów oraz zewnętrznych użytkowników końcowych akceptacji postanowień chroniących Kod Dystrybucyjny w stopniu co najmniej równym ochronie zapewnionej na mocy niniejszych postanowień licencyjnych; oraz</w:t>
      </w:r>
    </w:p>
    <w:p w14:paraId="2CB19577" w14:textId="77777777" w:rsidR="00A763C3" w:rsidRPr="00271F2B" w:rsidRDefault="00271F2B" w:rsidP="00A763C3">
      <w:pPr>
        <w:pStyle w:val="Bullet4"/>
        <w:rPr>
          <w:lang w:val="pl-PL"/>
        </w:rPr>
      </w:pPr>
      <w:r>
        <w:rPr>
          <w:rFonts w:eastAsia="Tahoma"/>
          <w:lang w:val="pl-PL"/>
        </w:rP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14:paraId="2CB19578" w14:textId="77777777" w:rsidR="00D61D35" w:rsidRPr="00271F2B" w:rsidRDefault="00271F2B" w:rsidP="00BB2080">
      <w:pPr>
        <w:pStyle w:val="Heading2"/>
        <w:numPr>
          <w:ilvl w:val="1"/>
          <w:numId w:val="36"/>
        </w:numPr>
        <w:ind w:left="720"/>
        <w:rPr>
          <w:lang w:val="pl-PL"/>
        </w:rPr>
      </w:pPr>
      <w:r>
        <w:rPr>
          <w:rFonts w:eastAsia="Tahoma"/>
          <w:lang w:val="pl-PL"/>
        </w:rPr>
        <w:t>Ograniczenia dotyczące rozpowszechniania.</w:t>
      </w:r>
      <w:r>
        <w:rPr>
          <w:rFonts w:eastAsia="Tahoma"/>
          <w:b w:val="0"/>
          <w:bCs w:val="0"/>
          <w:lang w:val="pl-PL"/>
        </w:rPr>
        <w:t xml:space="preserve"> Licencjobiorca nie może:</w:t>
      </w:r>
    </w:p>
    <w:p w14:paraId="2CB19579" w14:textId="77777777" w:rsidR="00D61D35" w:rsidRPr="00271F2B" w:rsidRDefault="00271F2B" w:rsidP="00D61D35">
      <w:pPr>
        <w:pStyle w:val="Bullet4"/>
        <w:rPr>
          <w:lang w:val="pl-PL"/>
        </w:rPr>
      </w:pPr>
      <w:r>
        <w:rPr>
          <w:rFonts w:eastAsia="Tahoma"/>
          <w:lang w:val="pl-PL"/>
        </w:rPr>
        <w:t>używać znaków towarowych Microsoft w nazwach swoich aplikacji lub w sposób sugerujący, że aplikacje Licencjobiorcy zostały wyprodukowane przez Microsoft lub są przez Microsoft promowane; lub</w:t>
      </w:r>
    </w:p>
    <w:p w14:paraId="2CB1957A" w14:textId="77777777" w:rsidR="00D61D35" w:rsidRPr="00271F2B" w:rsidRDefault="00271F2B" w:rsidP="00D61D35">
      <w:pPr>
        <w:pStyle w:val="Bullet4"/>
        <w:rPr>
          <w:lang w:val="pl-PL"/>
        </w:rPr>
      </w:pPr>
      <w:r>
        <w:rPr>
          <w:rFonts w:eastAsia="Tahoma"/>
          <w:lang w:val="pl-PL"/>
        </w:rPr>
        <w:t>modyfikować ani rozpowszechniać kodu źródłowego żadnego Kodu Dystrybucyjnego w taki sposób, aby jakakolwiek jego część podlegała Licencji Wyłączającej. „Licencja Wyłączająca” to licencja, w której warunkiem używania, modyfikacji lub rozpowszechniania kodu jest, aby (i) kod taki był jawny lub rozpowszechniany w postaci kodu źródłowego; lub (ii) inne osoby były uprawnione do modyfikowania takiego kodu.</w:t>
      </w:r>
    </w:p>
    <w:p w14:paraId="2CB1957B" w14:textId="77777777" w:rsidR="00FD5289" w:rsidRPr="00865172" w:rsidRDefault="00271F2B" w:rsidP="00BB2080">
      <w:pPr>
        <w:pStyle w:val="Heading1"/>
        <w:numPr>
          <w:ilvl w:val="0"/>
          <w:numId w:val="36"/>
        </w:numPr>
        <w:ind w:left="360"/>
        <w:rPr>
          <w:rFonts w:eastAsia="SimSun"/>
        </w:rPr>
      </w:pPr>
      <w:r>
        <w:rPr>
          <w:rFonts w:eastAsia="Tahoma"/>
          <w:lang w:val="pl-PL"/>
        </w:rPr>
        <w:t>PROJEKTOWANIE ROZSZERZEŃ.</w:t>
      </w:r>
    </w:p>
    <w:p w14:paraId="2CB1957C" w14:textId="77777777" w:rsidR="00FD5289" w:rsidRPr="00271F2B" w:rsidRDefault="00271F2B" w:rsidP="00BB2080">
      <w:pPr>
        <w:pStyle w:val="Heading2"/>
        <w:numPr>
          <w:ilvl w:val="1"/>
          <w:numId w:val="36"/>
        </w:numPr>
        <w:tabs>
          <w:tab w:val="num" w:pos="7923"/>
        </w:tabs>
        <w:ind w:left="720"/>
        <w:rPr>
          <w:rFonts w:eastAsia="SimSun"/>
          <w:b w:val="0"/>
          <w:lang w:val="pl-PL"/>
        </w:rPr>
      </w:pPr>
      <w:r>
        <w:rPr>
          <w:rFonts w:eastAsia="Tahoma"/>
          <w:lang w:val="pl-PL"/>
        </w:rPr>
        <w:t>Ograniczenia dla rozszerzeń</w:t>
      </w:r>
      <w:r>
        <w:rPr>
          <w:rFonts w:eastAsia="Tahoma"/>
          <w:b w:val="0"/>
          <w:bCs w:val="0"/>
          <w:lang w:val="pl-PL"/>
        </w:rPr>
        <w:t>. Licencjobiorca nie może projektować ani umożliwiać projektowania przez osoby trzecie rozszerzeń dla oprogramowania (ani żadnych innych składników rodziny produktów Visual Studio), których zadaniem jest obejście ograniczeń zastosowanych w tym oprogramowaniu. Jeżeli Microsoft technicznie ograniczy lub wyłączy możliwość rozszerzenia oprogramowania, Licencjobiorca nie będzie mógł rozszerzać oprogramowania przez m.in. ładowanie lub wprowadzanie do oprogramowania dodatków, makr lub pakietów niepochodzących od Microsoft lub przez modyfikowanie ustawień rejestru oprogramowania lub dodawanie funkcji czy funkcjonalności odpowiadających funkcjom oferowanym przez inne produkty z rodziny Visual Studio.</w:t>
      </w:r>
    </w:p>
    <w:p w14:paraId="2CB1957D" w14:textId="77777777" w:rsidR="00DA6DBF" w:rsidRPr="00271F2B" w:rsidRDefault="00271F2B" w:rsidP="00BB2080">
      <w:pPr>
        <w:pStyle w:val="Heading2"/>
        <w:numPr>
          <w:ilvl w:val="1"/>
          <w:numId w:val="36"/>
        </w:numPr>
        <w:tabs>
          <w:tab w:val="num" w:pos="7923"/>
        </w:tabs>
        <w:ind w:left="720"/>
        <w:rPr>
          <w:b w:val="0"/>
          <w:lang w:val="pl-PL"/>
        </w:rPr>
      </w:pPr>
      <w:r>
        <w:rPr>
          <w:rFonts w:eastAsia="Tahoma"/>
          <w:lang w:val="pl-PL"/>
        </w:rPr>
        <w:t>Zakaz obniżania wydajności oprogramowania</w:t>
      </w:r>
      <w:r>
        <w:rPr>
          <w:rFonts w:eastAsia="Tahoma"/>
          <w:b w:val="0"/>
          <w:bCs w:val="0"/>
          <w:lang w:val="pl-PL"/>
        </w:rPr>
        <w:t>. Jeśli Licencjobiorca opracuje rozszerzenie oprogramowania (lub dowolnego innego składnika rodziny produktów Visual Studio), musi przetestować instalację, dezinstalację i obsługę rozszerzenia, aby zagwarantować, że takie procesy nie wyłączają żadnych funkcji ani nie wpływają negatywnie na funkcjonalność oprogramowania (czy danego składnika) lub ich wcześniejszych wersji bądź wydań.</w:t>
      </w:r>
    </w:p>
    <w:p w14:paraId="2CB1957E" w14:textId="77777777" w:rsidR="00215B75" w:rsidRPr="00271F2B" w:rsidRDefault="00271F2B" w:rsidP="00BB2080">
      <w:pPr>
        <w:pStyle w:val="Heading1"/>
        <w:numPr>
          <w:ilvl w:val="0"/>
          <w:numId w:val="36"/>
        </w:numPr>
        <w:ind w:left="360"/>
        <w:rPr>
          <w:b w:val="0"/>
          <w:lang w:val="pl-PL"/>
        </w:rPr>
      </w:pPr>
      <w:r>
        <w:rPr>
          <w:rFonts w:eastAsia="Tahoma"/>
          <w:lang w:val="pl-PL"/>
        </w:rPr>
        <w:t>AKTUALIZACJE</w:t>
      </w:r>
      <w:r>
        <w:rPr>
          <w:rFonts w:eastAsia="Tahoma"/>
          <w:b w:val="0"/>
          <w:bCs w:val="0"/>
          <w:lang w:val="pl-PL"/>
        </w:rPr>
        <w:t>. Jeśli Microsoft przygotuje poprawki (w tym m.in. poprawki zabezpieczeń lub innego typu poprawki) do oprogramowania, Licencjobiorca zgadza się dołożyć uzasadnionych z handlowego punktu widzenia starań, aby zainstalować te poprawki w celu zaktualizowania oprogramowania.</w:t>
      </w:r>
    </w:p>
    <w:p w14:paraId="2CB1957F" w14:textId="77777777" w:rsidR="006D2825" w:rsidRPr="006D2825" w:rsidRDefault="00271F2B" w:rsidP="00BB2080">
      <w:pPr>
        <w:pStyle w:val="Heading1"/>
        <w:numPr>
          <w:ilvl w:val="0"/>
          <w:numId w:val="36"/>
        </w:numPr>
        <w:ind w:left="360"/>
        <w:rPr>
          <w:b w:val="0"/>
        </w:rPr>
      </w:pPr>
      <w:r>
        <w:rPr>
          <w:rFonts w:eastAsia="Tahoma"/>
          <w:lang w:val="pl-PL"/>
        </w:rPr>
        <w:lastRenderedPageBreak/>
        <w:t>DANE</w:t>
      </w:r>
      <w:r>
        <w:rPr>
          <w:rFonts w:eastAsia="Tahoma"/>
          <w:b w:val="0"/>
          <w:bCs w:val="0"/>
          <w:lang w:val="pl-PL"/>
        </w:rPr>
        <w:t>.</w:t>
      </w:r>
    </w:p>
    <w:p w14:paraId="2CB19580" w14:textId="77777777" w:rsidR="003435BC" w:rsidRPr="00271F2B" w:rsidRDefault="00271F2B" w:rsidP="00BB2080">
      <w:pPr>
        <w:pStyle w:val="Heading2"/>
        <w:numPr>
          <w:ilvl w:val="1"/>
          <w:numId w:val="36"/>
        </w:numPr>
        <w:ind w:left="720"/>
        <w:rPr>
          <w:b w:val="0"/>
          <w:lang w:val="pl-PL"/>
        </w:rPr>
      </w:pPr>
      <w:r>
        <w:rPr>
          <w:rFonts w:eastAsia="Tahoma"/>
          <w:lang w:val="pl-PL"/>
        </w:rPr>
        <w:t>Zbieranie danych</w:t>
      </w:r>
      <w:r>
        <w:rPr>
          <w:rFonts w:eastAsia="Tahoma"/>
          <w:b w:val="0"/>
          <w:bCs w:val="0"/>
          <w:lang w:val="pl-PL"/>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pewne funkcje oprogramowania, które mogą umożliwić Licencjobiorcy i Microsoft zbieranie danych od użytkowników aplikacji. Jeśli Licencjobiorca używa tych funkcji, musi przestrzegać przepisów prawa właściwego, w tym stosownie powiadamiać użytkowników aplikacji Licencjobiorcy o tych działaniach, a także udostępnić im kopię przyjętego przez Microsoft oświadczenia o ochronie prywatności. Oświadczenie to można znaleźć pod adresem </w:t>
      </w:r>
      <w:hyperlink r:id="rId7" w:history="1">
        <w:r>
          <w:rPr>
            <w:rFonts w:eastAsia="Tahoma"/>
            <w:b w:val="0"/>
            <w:bCs w:val="0"/>
            <w:color w:val="0000FF"/>
            <w:u w:val="single"/>
            <w:lang w:val="pl-PL"/>
          </w:rPr>
          <w:t>https://go.microsoft.com/fwlink/?LinkID=824704</w:t>
        </w:r>
      </w:hyperlink>
      <w:r>
        <w:rPr>
          <w:rFonts w:eastAsia="Tahoma" w:cs="Times New Roman"/>
          <w:b w:val="0"/>
          <w:bCs w:val="0"/>
          <w:lang w:val="pl-PL"/>
        </w:rPr>
        <w:t>.</w:t>
      </w:r>
      <w:r>
        <w:rPr>
          <w:rFonts w:eastAsia="Tahoma"/>
          <w:b w:val="0"/>
          <w:bCs w:val="0"/>
          <w:lang w:val="pl-PL"/>
        </w:rPr>
        <w:t xml:space="preserve"> Więcej informacji na temat zbierania i używania danych można znaleźć w dokumentacji oprogramowania i oświadczeniu Microsoft o ochronie prywatności. Używanie przez Licencjobiorcę oprogramowania oznacza zgodę Licencjobiorcy na takie działania.</w:t>
      </w:r>
    </w:p>
    <w:p w14:paraId="2CB19581" w14:textId="7A7A9FF7" w:rsidR="00CA6AB7" w:rsidRPr="00271F2B" w:rsidRDefault="00271F2B" w:rsidP="00BB2080">
      <w:pPr>
        <w:pStyle w:val="Heading2"/>
        <w:numPr>
          <w:ilvl w:val="1"/>
          <w:numId w:val="36"/>
        </w:numPr>
        <w:ind w:left="720"/>
        <w:rPr>
          <w:b w:val="0"/>
          <w:lang w:val="pl-PL"/>
        </w:rPr>
      </w:pPr>
      <w:r>
        <w:rPr>
          <w:rFonts w:eastAsia="Tahoma"/>
          <w:lang w:val="pl-PL"/>
        </w:rPr>
        <w:t>Przetwarzanie danych osobowych.</w:t>
      </w:r>
      <w:r>
        <w:rPr>
          <w:rFonts w:eastAsia="Tahoma"/>
          <w:b w:val="0"/>
          <w:bCs w:val="0"/>
          <w:lang w:val="pl-PL"/>
        </w:rPr>
        <w:t xml:space="preserve"> </w:t>
      </w:r>
      <w:r>
        <w:rPr>
          <w:rFonts w:eastAsia="Tahoma"/>
          <w:b w:val="0"/>
          <w:bCs w:val="0"/>
          <w:sz w:val="20"/>
          <w:szCs w:val="20"/>
          <w:lang w:val="pl-PL"/>
        </w:rPr>
        <w:t xml:space="preserve">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 </w:t>
      </w:r>
      <w:hyperlink r:id="rId8" w:history="1">
        <w:r w:rsidR="00236ACD" w:rsidRPr="006B6D3F">
          <w:rPr>
            <w:rStyle w:val="Hyperlink"/>
            <w:rFonts w:eastAsia="SimSun" w:cs="Tahoma"/>
            <w:b w:val="0"/>
            <w:szCs w:val="20"/>
          </w:rPr>
          <w:t>https://docs.microsoft.com/en-us/legal/gdpr</w:t>
        </w:r>
      </w:hyperlink>
      <w:r>
        <w:rPr>
          <w:rFonts w:eastAsia="Tahoma"/>
          <w:b w:val="0"/>
          <w:bCs w:val="0"/>
          <w:sz w:val="20"/>
          <w:szCs w:val="20"/>
          <w:lang w:val="pl-PL"/>
        </w:rPr>
        <w:t>.</w:t>
      </w:r>
    </w:p>
    <w:p w14:paraId="2CB19582" w14:textId="77777777" w:rsidR="00D61D35" w:rsidRPr="00BE609E" w:rsidRDefault="00271F2B" w:rsidP="004D429F">
      <w:pPr>
        <w:pStyle w:val="Heading1"/>
        <w:numPr>
          <w:ilvl w:val="0"/>
          <w:numId w:val="36"/>
        </w:numPr>
        <w:ind w:left="360"/>
      </w:pPr>
      <w:r>
        <w:rPr>
          <w:rFonts w:eastAsia="Tahoma"/>
          <w:lang w:val="pl-PL"/>
        </w:rPr>
        <w:t xml:space="preserve">ZAKRES LICENCJI. </w:t>
      </w:r>
      <w:r>
        <w:rPr>
          <w:rFonts w:eastAsia="Tahoma"/>
          <w:b w:val="0"/>
          <w:bCs w:val="0"/>
          <w:lang w:val="pl-PL"/>
        </w:rPr>
        <w:t>Oprogramowanie jest licencjonowane, a nie sprzedawane. Niniejsze postanowienia licencyjne dają Licencjobiorcy jedynie określone prawa do korzystania z oprogramowania. Microsoft zastrzega sobie wszystkie pozostałe prawa. Licencjobiorca może korzystać z oprogramowania tylko w sposób wyraźnie dozwolony w niniejszych postanowieniach licencyjnych.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Ponadto nie wolno:</w:t>
      </w:r>
    </w:p>
    <w:p w14:paraId="2CB19583" w14:textId="77777777" w:rsidR="00D61D35" w:rsidRPr="00BE609E" w:rsidRDefault="00271F2B" w:rsidP="00D61D35">
      <w:pPr>
        <w:pStyle w:val="Bullet4"/>
      </w:pPr>
      <w:r>
        <w:rPr>
          <w:rFonts w:eastAsia="Tahoma"/>
          <w:lang w:val="pl-PL"/>
        </w:rPr>
        <w:t>omijać żadnych ograniczeń technicznych oprogramowania;</w:t>
      </w:r>
    </w:p>
    <w:p w14:paraId="2CB19584" w14:textId="77777777" w:rsidR="00D61D35" w:rsidRPr="00BE609E" w:rsidRDefault="00271F2B" w:rsidP="00D61D35">
      <w:pPr>
        <w:pStyle w:val="Bullet4"/>
        <w:rPr>
          <w:rFonts w:eastAsia="SimSun"/>
        </w:rPr>
      </w:pPr>
      <w:r>
        <w:rPr>
          <w:rFonts w:eastAsia="Tahoma"/>
          <w:lang w:val="pl-PL"/>
        </w:rP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14:paraId="2CB19585" w14:textId="77777777" w:rsidR="00D61D35" w:rsidRPr="00BE609E" w:rsidRDefault="00271F2B" w:rsidP="00D61D35">
      <w:pPr>
        <w:pStyle w:val="Bullet4"/>
      </w:pPr>
      <w:r>
        <w:rPr>
          <w:rFonts w:eastAsia="Tahoma"/>
          <w:lang w:val="pl-PL"/>
        </w:rPr>
        <w:t>usuwać, minimalizować, blokować ani modyfikować żadnych umieszczonych w oprogramowaniu powiadomień Microsoft ani dostawców Microsoft;</w:t>
      </w:r>
    </w:p>
    <w:p w14:paraId="2CB19586" w14:textId="77777777" w:rsidR="00D61D35" w:rsidRPr="00BE609E" w:rsidRDefault="00271F2B" w:rsidP="00D61D35">
      <w:pPr>
        <w:pStyle w:val="Bullet4"/>
      </w:pPr>
      <w:r>
        <w:rPr>
          <w:rFonts w:eastAsia="Tahoma"/>
          <w:lang w:val="pl-PL"/>
        </w:rPr>
        <w:t xml:space="preserve">używać oprogramowania w sposób niezgodny z prawem; </w:t>
      </w:r>
    </w:p>
    <w:p w14:paraId="2CB19587" w14:textId="77777777" w:rsidR="00EA4337" w:rsidRDefault="00271F2B" w:rsidP="00D61D35">
      <w:pPr>
        <w:pStyle w:val="Bullet4"/>
      </w:pPr>
      <w:r>
        <w:rPr>
          <w:rFonts w:eastAsia="Tahoma"/>
          <w:lang w:val="pl-PL"/>
        </w:rPr>
        <w:t>udostępniać, publikować, wynajmować ani wydzierżawiać oprogramowania ani</w:t>
      </w:r>
    </w:p>
    <w:p w14:paraId="2CB19588" w14:textId="77777777" w:rsidR="00D61D35" w:rsidRPr="00BE609E" w:rsidRDefault="00271F2B" w:rsidP="00D61D35">
      <w:pPr>
        <w:pStyle w:val="Bullet4"/>
      </w:pPr>
      <w:r>
        <w:rPr>
          <w:rFonts w:eastAsia="Tahoma"/>
          <w:lang w:val="pl-PL"/>
        </w:rPr>
        <w:t>dostarczać oprogramowania w postaci samodzielnego rozwiązania ani łączyć go z żadną aplikacją Licencjobiorcy w celu używania go przez inne osoby ani przenosić tego oprogramowania lub niniejszej umowy na osobę trzecią.</w:t>
      </w:r>
    </w:p>
    <w:p w14:paraId="2CB19589" w14:textId="77777777" w:rsidR="00D61D35" w:rsidRPr="00BE609E" w:rsidRDefault="00271F2B" w:rsidP="004D429F">
      <w:pPr>
        <w:pStyle w:val="Heading1"/>
        <w:numPr>
          <w:ilvl w:val="0"/>
          <w:numId w:val="36"/>
        </w:numPr>
        <w:ind w:left="360"/>
        <w:rPr>
          <w:u w:val="single"/>
        </w:rPr>
      </w:pPr>
      <w:r>
        <w:rPr>
          <w:rFonts w:eastAsia="Tahoma"/>
          <w:lang w:val="pl-PL"/>
        </w:rPr>
        <w:t xml:space="preserve">USŁUGI POMOCY TECHNICZNEJ. </w:t>
      </w:r>
      <w:hyperlink r:id="rId9" w:history="1">
        <w:r>
          <w:rPr>
            <w:rFonts w:eastAsia="Tahoma"/>
            <w:b w:val="0"/>
            <w:bCs w:val="0"/>
            <w:lang w:val="pl-PL"/>
          </w:rPr>
          <w:t>Niniejsze</w:t>
        </w:r>
      </w:hyperlink>
      <w:r>
        <w:rPr>
          <w:rFonts w:eastAsia="Tahoma"/>
          <w:b w:val="0"/>
          <w:bCs w:val="0"/>
          <w:lang w:val="pl-PL"/>
        </w:rPr>
        <w:t xml:space="preserve"> oprogramowanie jest udostępniane Licencjobiorcy w stanie „takim, w jakim jest”, w związku z czym Microsoft może nie świadczyć związanych z tym oprogramowaniem usług pomocy technicznej.</w:t>
      </w:r>
    </w:p>
    <w:p w14:paraId="2CB1958A" w14:textId="77777777" w:rsidR="00D61D35" w:rsidRPr="00BE609E" w:rsidRDefault="00271F2B" w:rsidP="004D429F">
      <w:pPr>
        <w:pStyle w:val="Heading1"/>
        <w:numPr>
          <w:ilvl w:val="0"/>
          <w:numId w:val="36"/>
        </w:numPr>
        <w:ind w:left="360"/>
      </w:pPr>
      <w:r>
        <w:rPr>
          <w:rFonts w:eastAsia="Tahoma"/>
          <w:lang w:val="pl-PL"/>
        </w:rPr>
        <w:t>CAŁOŚĆ UMOWY</w:t>
      </w:r>
      <w:r>
        <w:rPr>
          <w:rFonts w:eastAsia="Tahoma"/>
          <w:b w:val="0"/>
          <w:bCs w:val="0"/>
          <w:lang w:val="pl-PL"/>
        </w:rPr>
        <w:t>. Niniejsza umowa wraz ze wszystkimi postanowieniami dotyczącymi uzupełnień, aktualizacji, usług internetowych i usług pomocy technicznej, z których korzysta Licencjobiorca, stanowią całość umowy dotyczącej oprogramowania i usług pomocy technicznej.</w:t>
      </w:r>
    </w:p>
    <w:p w14:paraId="2CB1958B" w14:textId="77777777" w:rsidR="00DF5539" w:rsidRPr="00271F2B" w:rsidRDefault="00271F2B" w:rsidP="004D429F">
      <w:pPr>
        <w:pStyle w:val="Heading1"/>
        <w:numPr>
          <w:ilvl w:val="0"/>
          <w:numId w:val="36"/>
        </w:numPr>
        <w:ind w:left="360"/>
        <w:rPr>
          <w:rStyle w:val="Hyperlink"/>
          <w:rFonts w:cs="Tahoma"/>
          <w:b w:val="0"/>
          <w:color w:val="auto"/>
          <w:u w:val="none"/>
          <w:lang w:val="pl-PL"/>
        </w:rPr>
      </w:pPr>
      <w:r>
        <w:rPr>
          <w:rFonts w:eastAsia="Tahoma"/>
          <w:lang w:val="pl-PL"/>
        </w:rPr>
        <w:t xml:space="preserve">OGRANICZENIA EKSPORTOWE. </w:t>
      </w:r>
      <w:r>
        <w:rPr>
          <w:rFonts w:eastAsia="Tahoma"/>
          <w:b w:val="0"/>
          <w:bCs w:val="0"/>
          <w:lang w:val="pl-PL"/>
        </w:rPr>
        <w:t xml:space="preserve">Licencjobiorca musi przestrzegać wszelkich krajowych i międzynarodowych przepisów eksportowych mających zastosowanie do oprogramowania, które obejmują </w:t>
      </w:r>
      <w:r>
        <w:rPr>
          <w:rFonts w:eastAsia="Tahoma"/>
          <w:b w:val="0"/>
          <w:bCs w:val="0"/>
          <w:lang w:val="pl-PL"/>
        </w:rPr>
        <w:lastRenderedPageBreak/>
        <w:t xml:space="preserve">ograniczenia w zakresie końcowego użytkownika, końcowego przeznaczenia i kraju przeznaczenia. Więcej informacji na temat ograniczeń eksportowych można znaleźć na stronie </w:t>
      </w:r>
      <w:hyperlink r:id="rId10" w:history="1">
        <w:r>
          <w:rPr>
            <w:rFonts w:eastAsia="Tahoma"/>
            <w:b w:val="0"/>
            <w:bCs w:val="0"/>
            <w:color w:val="0000FF"/>
            <w:u w:val="single"/>
            <w:lang w:val="pl-PL"/>
          </w:rPr>
          <w:t>www.microsoft.com/exporting</w:t>
        </w:r>
      </w:hyperlink>
      <w:r>
        <w:rPr>
          <w:rFonts w:eastAsia="Tahoma"/>
          <w:b w:val="0"/>
          <w:bCs w:val="0"/>
          <w:color w:val="0000FF"/>
          <w:u w:val="single"/>
          <w:lang w:val="pl-PL"/>
        </w:rPr>
        <w:t>.</w:t>
      </w:r>
    </w:p>
    <w:p w14:paraId="2CB1958C" w14:textId="77777777" w:rsidR="00D61D35" w:rsidRPr="00271F2B" w:rsidRDefault="00271F2B" w:rsidP="004D429F">
      <w:pPr>
        <w:pStyle w:val="Heading1"/>
        <w:numPr>
          <w:ilvl w:val="0"/>
          <w:numId w:val="36"/>
        </w:numPr>
        <w:ind w:left="360"/>
        <w:rPr>
          <w:lang w:val="pl-PL"/>
        </w:rPr>
      </w:pPr>
      <w:r>
        <w:rPr>
          <w:rFonts w:eastAsia="Tahoma"/>
          <w:lang w:val="pl-PL"/>
        </w:rPr>
        <w:t xml:space="preserve">PRAWO WŁAŚCIWE. </w:t>
      </w:r>
      <w:r>
        <w:rPr>
          <w:rFonts w:eastAsia="Tahoma"/>
          <w:b w:val="0"/>
          <w:bCs w:val="0"/>
          <w:lang w:val="pl-PL"/>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2CB1958D" w14:textId="77777777" w:rsidR="00CD364A" w:rsidRPr="00271F2B" w:rsidRDefault="00271F2B" w:rsidP="004D429F">
      <w:pPr>
        <w:numPr>
          <w:ilvl w:val="0"/>
          <w:numId w:val="36"/>
        </w:numPr>
        <w:ind w:left="360"/>
        <w:outlineLvl w:val="0"/>
        <w:rPr>
          <w:bCs/>
          <w:lang w:val="pl-PL"/>
        </w:rPr>
      </w:pPr>
      <w:r>
        <w:rPr>
          <w:rFonts w:eastAsia="Tahoma"/>
          <w:b/>
          <w:bCs/>
          <w:lang w:val="pl-PL"/>
        </w:rPr>
        <w:t xml:space="preserve">PRAWA KONSUMENTA — RÓŻNICE REGIONALNE. </w:t>
      </w:r>
      <w:r>
        <w:rPr>
          <w:rFonts w:eastAsia="Tahoma"/>
          <w:lang w:val="pl-PL"/>
        </w:rPr>
        <w:t>W niniejszych postanowieniach licencyjnych zostały przedstawione niektóre z praw przysługujących stronom. Licencjobiorcy mogą przysługiwać inne prawa, w tym prawa konsumenta, na mocy przepisów prawa obowiązujących w stanie lub kraju Licencjobiorcy. Ponadto Licencjobiorcy mogą przysługiwać określone uprawnienia względem strony, od której nabył oprogramowanie. Niniejsza umowa nie zmienia tych innych praw, jeśli prawa przysługujące Licencjobiorcy na mocy ustawodawstwa stanowego lub krajowego nie zezwalają na takie zmiany. Na przykład jeśli Licencjobiorca nabył oprogramowanie w jednym z poniższych regionów lub w przypadku, gdy zastosowanie ma obowiązkowe prawo krajowe, wówczas Licencjobiorca podlega poniższym postanowieniom:</w:t>
      </w:r>
    </w:p>
    <w:p w14:paraId="2CB1958E" w14:textId="77777777" w:rsidR="00CD364A" w:rsidRPr="00271F2B" w:rsidRDefault="00271F2B" w:rsidP="00CD364A">
      <w:pPr>
        <w:numPr>
          <w:ilvl w:val="0"/>
          <w:numId w:val="26"/>
        </w:numPr>
        <w:outlineLvl w:val="1"/>
        <w:rPr>
          <w:bCs/>
          <w:lang w:val="pl-PL"/>
        </w:rPr>
      </w:pPr>
      <w:r>
        <w:rPr>
          <w:rFonts w:eastAsia="Tahoma"/>
          <w:b/>
          <w:bCs/>
          <w:lang w:val="pl-PL"/>
        </w:rPr>
        <w:t xml:space="preserve">Australia. </w:t>
      </w:r>
      <w:r>
        <w:rPr>
          <w:rFonts w:eastAsia="Tahoma"/>
          <w:lang w:val="pl-PL"/>
        </w:rPr>
        <w:t>Australijska ustawa o ochronie konsumentów (ang. Australian Consumer Law) przyznaje Licencjobiorcy określone gwarancje i żadne z zawartych tu postanowień licencyjnych nie ma na celu ograniczenia praw przysługujących Licencjobiorcy na mocy tej ustawy.</w:t>
      </w:r>
    </w:p>
    <w:p w14:paraId="2CB1958F" w14:textId="77777777" w:rsidR="00CD364A" w:rsidRPr="00271F2B" w:rsidRDefault="00271F2B" w:rsidP="00CD364A">
      <w:pPr>
        <w:numPr>
          <w:ilvl w:val="0"/>
          <w:numId w:val="26"/>
        </w:numPr>
        <w:outlineLvl w:val="1"/>
        <w:rPr>
          <w:bCs/>
          <w:lang w:val="pl-PL"/>
        </w:rPr>
      </w:pPr>
      <w:r>
        <w:rPr>
          <w:rFonts w:eastAsia="Tahoma"/>
          <w:b/>
          <w:bCs/>
          <w:lang w:val="pl-PL"/>
        </w:rPr>
        <w:t xml:space="preserve">Kanada. </w:t>
      </w:r>
      <w:r>
        <w:rPr>
          <w:rFonts w:eastAsia="Tahoma"/>
          <w:lang w:val="pl-PL"/>
        </w:rPr>
        <w:t>Licencjobiorca może przestać otrzymywać aktualizacje na swoim urządzeniu, wyłączając dostęp do Internetu. Jeśli i kiedy ponownie połączy się z Internetem, oprogramowanie ponownie sprawdzi i zainstaluje aktualizacje.</w:t>
      </w:r>
    </w:p>
    <w:p w14:paraId="2CB19590" w14:textId="77777777" w:rsidR="00CD364A" w:rsidRPr="00BE609E" w:rsidRDefault="00271F2B" w:rsidP="00CD364A">
      <w:pPr>
        <w:numPr>
          <w:ilvl w:val="0"/>
          <w:numId w:val="26"/>
        </w:numPr>
        <w:outlineLvl w:val="1"/>
        <w:rPr>
          <w:bCs/>
        </w:rPr>
      </w:pPr>
      <w:r>
        <w:rPr>
          <w:rFonts w:eastAsia="Tahoma"/>
          <w:b/>
          <w:bCs/>
          <w:lang w:val="pl-PL"/>
        </w:rPr>
        <w:t>Niemcy i Austria</w:t>
      </w:r>
      <w:r>
        <w:rPr>
          <w:rFonts w:eastAsia="Tahoma"/>
          <w:lang w:val="pl-PL"/>
        </w:rPr>
        <w:t>.</w:t>
      </w:r>
    </w:p>
    <w:p w14:paraId="2CB19591" w14:textId="77777777" w:rsidR="00CD364A" w:rsidRPr="00271F2B" w:rsidRDefault="00271F2B" w:rsidP="00CD364A">
      <w:pPr>
        <w:ind w:left="717"/>
        <w:rPr>
          <w:lang w:val="pl-PL"/>
        </w:rPr>
      </w:pPr>
      <w:r>
        <w:rPr>
          <w:rFonts w:eastAsia="Tahoma"/>
          <w:b/>
          <w:bCs/>
          <w:lang w:val="pl-PL"/>
        </w:rPr>
        <w:t>(i)</w:t>
      </w:r>
      <w:r>
        <w:rPr>
          <w:rFonts w:eastAsia="Tahoma"/>
          <w:b/>
          <w:bCs/>
          <w:lang w:val="pl-PL"/>
        </w:rPr>
        <w:tab/>
        <w:t>Gwarancja.</w:t>
      </w:r>
      <w:r>
        <w:rPr>
          <w:rFonts w:eastAsia="Tahoma"/>
          <w:lang w:val="pl-PL"/>
        </w:rPr>
        <w:t xml:space="preserve"> Oprogramowanie objęte właściwą licencją będzie działać zasadniczo zgodnie z opisem znajdującym się we wszelkich materiałach Microsoft towarzyszących oprogramowaniu. Jednakże Microsoft nie udziela żadnych innych umownych gwarancji ani zapewnień dotyczących licencjonowanego oprogramowania.</w:t>
      </w:r>
    </w:p>
    <w:p w14:paraId="2CB19592" w14:textId="77777777" w:rsidR="00CD364A" w:rsidRPr="00271F2B" w:rsidRDefault="00271F2B" w:rsidP="00CD364A">
      <w:pPr>
        <w:ind w:left="717"/>
        <w:rPr>
          <w:lang w:val="pl-PL"/>
        </w:rPr>
      </w:pPr>
      <w:r>
        <w:rPr>
          <w:rFonts w:eastAsia="Tahoma"/>
          <w:b/>
          <w:bCs/>
          <w:lang w:val="pl-PL"/>
        </w:rPr>
        <w:t>(ii)</w:t>
      </w:r>
      <w:r>
        <w:rPr>
          <w:rFonts w:eastAsia="Tahoma"/>
          <w:lang w:val="pl-PL"/>
        </w:rPr>
        <w:tab/>
      </w:r>
      <w:r>
        <w:rPr>
          <w:rFonts w:eastAsia="Tahoma"/>
          <w:b/>
          <w:bCs/>
          <w:lang w:val="pl-PL"/>
        </w:rPr>
        <w:t>Ograniczenie odpowiedzialności.</w:t>
      </w:r>
      <w:r>
        <w:rPr>
          <w:rFonts w:eastAsia="Tahoma"/>
          <w:lang w:val="pl-PL"/>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2CB19593" w14:textId="77777777" w:rsidR="00CD364A" w:rsidRPr="00271F2B" w:rsidRDefault="00271F2B" w:rsidP="00CD364A">
      <w:pPr>
        <w:ind w:left="717"/>
        <w:outlineLvl w:val="0"/>
        <w:rPr>
          <w:bCs/>
          <w:lang w:val="pl-PL"/>
        </w:rPr>
      </w:pPr>
      <w:r>
        <w:rPr>
          <w:rFonts w:eastAsia="Tahoma"/>
          <w:bCs/>
          <w:lang w:val="pl-PL"/>
        </w:rPr>
        <w:t>Z zastrzeżeniem postanowienia zawartego w zdaniu poprzednim (ii) Microsoft ponosi odpowiedzialność za niewielkie zaniedbanie, jeśli nie wywiązuje się ze swoich zobowiązań umownych, których realizacja ułatwia należyte wykonanie niniejszej umowy, których naruszenie stanowi zagrożenie dla realizacji celu niniejszej umowy i których spełnienie stanowi podstawę zaufania drugiej strony (tzw. istotne zobowiązania umowne). W innych przypadkach niewielkiego zaniedbania Microsoft nie ponosi za nie odpowiedzialności.</w:t>
      </w:r>
    </w:p>
    <w:p w14:paraId="2CB19594" w14:textId="77777777" w:rsidR="00D61D35" w:rsidRPr="00271F2B" w:rsidRDefault="00271F2B" w:rsidP="003D3774">
      <w:pPr>
        <w:pStyle w:val="Heading1"/>
        <w:numPr>
          <w:ilvl w:val="0"/>
          <w:numId w:val="36"/>
        </w:numPr>
        <w:ind w:left="360"/>
        <w:rPr>
          <w:caps/>
          <w:lang w:val="pl-PL"/>
        </w:rPr>
      </w:pPr>
      <w:r>
        <w:rPr>
          <w:rFonts w:eastAsia="Tahoma"/>
          <w:lang w:val="pl-PL"/>
        </w:rPr>
        <w:t xml:space="preserve">ODRZUCENIE ODPOWIEDZIALNOŚCI Z TYTUŁU RĘKOJMI I GWARANCJI. </w:t>
      </w:r>
      <w:r>
        <w:rPr>
          <w:rFonts w:eastAsia="Tahoma"/>
          <w:caps/>
          <w:lang w:val="pl-PL"/>
        </w:rPr>
        <w:t>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r>
        <w:rPr>
          <w:rFonts w:eastAsia="Tahoma"/>
          <w:b w:val="0"/>
          <w:bCs w:val="0"/>
          <w:lang w:val="pl-PL"/>
        </w:rPr>
        <w:t>.</w:t>
      </w:r>
    </w:p>
    <w:p w14:paraId="2CB19595" w14:textId="77777777" w:rsidR="00D61D35" w:rsidRPr="00271F2B" w:rsidRDefault="00271F2B" w:rsidP="003D3774">
      <w:pPr>
        <w:pStyle w:val="Heading1"/>
        <w:numPr>
          <w:ilvl w:val="0"/>
          <w:numId w:val="36"/>
        </w:numPr>
        <w:ind w:left="360"/>
        <w:rPr>
          <w:caps/>
          <w:lang w:val="pl-PL"/>
        </w:rPr>
      </w:pPr>
      <w:r>
        <w:rPr>
          <w:rFonts w:eastAsia="Tahoma"/>
          <w:caps/>
          <w:lang w:val="pl-PL"/>
        </w:rPr>
        <w:t>OGRANICZENIE ODPOWIEDZIALNOŚCI ODSZKODOWAWCZEJ. Licencjobiorca może dochodzić od firmy Microsoft i jej dostawców wyłącznie szkód bezpośrednich w wysokości 5,00 USD. Licencjobiorca nie może dochodzić roszczeń z tytułu żadnych innych szkód, w tym szkód wynikających z utraty zysków, szkód wtórnych, szkód szczególnych, szkód pośrednich ani szkód ubocznych.</w:t>
      </w:r>
    </w:p>
    <w:p w14:paraId="2CB19596" w14:textId="77777777" w:rsidR="00D61D35" w:rsidRPr="00271F2B" w:rsidRDefault="00271F2B" w:rsidP="00D61D35">
      <w:pPr>
        <w:pStyle w:val="Body1"/>
        <w:rPr>
          <w:rFonts w:eastAsia="SimSun"/>
          <w:lang w:val="pl-PL"/>
        </w:rPr>
      </w:pPr>
      <w:r>
        <w:rPr>
          <w:rFonts w:eastAsia="Tahoma"/>
          <w:lang w:val="pl-PL"/>
        </w:rPr>
        <w:lastRenderedPageBreak/>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2CB19597" w14:textId="77777777" w:rsidR="00D61D35" w:rsidRPr="00271F2B" w:rsidRDefault="00271F2B" w:rsidP="00D61D35">
      <w:pPr>
        <w:pStyle w:val="Bullet4"/>
        <w:numPr>
          <w:ilvl w:val="0"/>
          <w:numId w:val="0"/>
        </w:numPr>
        <w:ind w:left="360"/>
        <w:rPr>
          <w:lang w:val="pl-PL"/>
        </w:rPr>
      </w:pPr>
      <w:r>
        <w:rPr>
          <w:rFonts w:eastAsia="Tahoma"/>
          <w:lang w:val="pl-PL"/>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2CB19598" w14:textId="77777777" w:rsidR="00240B01" w:rsidRPr="00271F2B" w:rsidRDefault="00240B01" w:rsidP="001C4DCF">
      <w:pPr>
        <w:pStyle w:val="Body1"/>
        <w:ind w:left="0"/>
        <w:rPr>
          <w:lang w:val="pl-PL"/>
        </w:rPr>
      </w:pPr>
    </w:p>
    <w:p w14:paraId="2CB19599" w14:textId="77777777" w:rsidR="00623534" w:rsidRPr="00623534" w:rsidRDefault="00271F2B" w:rsidP="00623534">
      <w:pPr>
        <w:rPr>
          <w:rFonts w:ascii="Candara" w:hAnsi="Candara"/>
          <w:color w:val="1F4E79"/>
          <w:sz w:val="24"/>
          <w:szCs w:val="24"/>
        </w:rPr>
      </w:pPr>
      <w:r w:rsidRPr="00623534">
        <w:rPr>
          <w:rFonts w:ascii="Candara" w:hAnsi="Candara"/>
          <w:color w:val="1F4E79"/>
          <w:sz w:val="24"/>
          <w:szCs w:val="24"/>
        </w:rPr>
        <w:t xml:space="preserve">EULA ID: </w:t>
      </w:r>
      <w:r w:rsidR="00623534" w:rsidRPr="00623534">
        <w:rPr>
          <w:rFonts w:ascii="Candara" w:hAnsi="Candara"/>
          <w:color w:val="1F4E79"/>
          <w:sz w:val="24"/>
          <w:szCs w:val="24"/>
        </w:rPr>
        <w:t>VS_2019_RC_PLK.1045</w:t>
      </w:r>
    </w:p>
    <w:p w14:paraId="2CB1959A" w14:textId="77777777" w:rsidR="007974F4" w:rsidRPr="00623534" w:rsidRDefault="007974F4" w:rsidP="001C4DCF">
      <w:pPr>
        <w:pStyle w:val="Body1"/>
        <w:ind w:left="0"/>
        <w:rPr>
          <w:lang w:val="sv-SE"/>
        </w:rPr>
      </w:pPr>
    </w:p>
    <w:sectPr w:rsidR="007974F4" w:rsidRPr="00623534"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D36D" w14:textId="77777777" w:rsidR="00B159A5" w:rsidRDefault="00B159A5" w:rsidP="00271F2B">
      <w:pPr>
        <w:spacing w:before="0" w:after="0"/>
      </w:pPr>
      <w:r>
        <w:separator/>
      </w:r>
    </w:p>
  </w:endnote>
  <w:endnote w:type="continuationSeparator" w:id="0">
    <w:p w14:paraId="17940EAE" w14:textId="77777777" w:rsidR="00B159A5" w:rsidRDefault="00B159A5" w:rsidP="00271F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3BD5" w14:textId="77777777" w:rsidR="00B159A5" w:rsidRDefault="00B159A5" w:rsidP="00271F2B">
      <w:pPr>
        <w:spacing w:before="0" w:after="0"/>
      </w:pPr>
      <w:r>
        <w:separator/>
      </w:r>
    </w:p>
  </w:footnote>
  <w:footnote w:type="continuationSeparator" w:id="0">
    <w:p w14:paraId="04D8E541" w14:textId="77777777" w:rsidR="00B159A5" w:rsidRDefault="00B159A5" w:rsidP="00271F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346835C">
      <w:start w:val="1"/>
      <w:numFmt w:val="bullet"/>
      <w:lvlText w:val=""/>
      <w:lvlJc w:val="left"/>
      <w:pPr>
        <w:ind w:left="1800" w:hanging="360"/>
      </w:pPr>
      <w:rPr>
        <w:rFonts w:ascii="Symbol" w:eastAsiaTheme="minorHAnsi" w:hAnsi="Symbol" w:cstheme="minorBidi" w:hint="default"/>
      </w:rPr>
    </w:lvl>
    <w:lvl w:ilvl="1" w:tplc="00447B98" w:tentative="1">
      <w:start w:val="1"/>
      <w:numFmt w:val="bullet"/>
      <w:lvlText w:val="o"/>
      <w:lvlJc w:val="left"/>
      <w:pPr>
        <w:ind w:left="2520" w:hanging="360"/>
      </w:pPr>
      <w:rPr>
        <w:rFonts w:ascii="Courier New" w:hAnsi="Courier New" w:cs="Courier New" w:hint="default"/>
      </w:rPr>
    </w:lvl>
    <w:lvl w:ilvl="2" w:tplc="DFFC75A2" w:tentative="1">
      <w:start w:val="1"/>
      <w:numFmt w:val="bullet"/>
      <w:lvlText w:val=""/>
      <w:lvlJc w:val="left"/>
      <w:pPr>
        <w:ind w:left="3240" w:hanging="360"/>
      </w:pPr>
      <w:rPr>
        <w:rFonts w:ascii="Wingdings" w:hAnsi="Wingdings" w:hint="default"/>
      </w:rPr>
    </w:lvl>
    <w:lvl w:ilvl="3" w:tplc="2954E17A" w:tentative="1">
      <w:start w:val="1"/>
      <w:numFmt w:val="bullet"/>
      <w:lvlText w:val=""/>
      <w:lvlJc w:val="left"/>
      <w:pPr>
        <w:ind w:left="3960" w:hanging="360"/>
      </w:pPr>
      <w:rPr>
        <w:rFonts w:ascii="Symbol" w:hAnsi="Symbol" w:hint="default"/>
      </w:rPr>
    </w:lvl>
    <w:lvl w:ilvl="4" w:tplc="8CC034C0" w:tentative="1">
      <w:start w:val="1"/>
      <w:numFmt w:val="bullet"/>
      <w:lvlText w:val="o"/>
      <w:lvlJc w:val="left"/>
      <w:pPr>
        <w:ind w:left="4680" w:hanging="360"/>
      </w:pPr>
      <w:rPr>
        <w:rFonts w:ascii="Courier New" w:hAnsi="Courier New" w:cs="Courier New" w:hint="default"/>
      </w:rPr>
    </w:lvl>
    <w:lvl w:ilvl="5" w:tplc="25D25748" w:tentative="1">
      <w:start w:val="1"/>
      <w:numFmt w:val="bullet"/>
      <w:lvlText w:val=""/>
      <w:lvlJc w:val="left"/>
      <w:pPr>
        <w:ind w:left="5400" w:hanging="360"/>
      </w:pPr>
      <w:rPr>
        <w:rFonts w:ascii="Wingdings" w:hAnsi="Wingdings" w:hint="default"/>
      </w:rPr>
    </w:lvl>
    <w:lvl w:ilvl="6" w:tplc="BF0A7B7E" w:tentative="1">
      <w:start w:val="1"/>
      <w:numFmt w:val="bullet"/>
      <w:lvlText w:val=""/>
      <w:lvlJc w:val="left"/>
      <w:pPr>
        <w:ind w:left="6120" w:hanging="360"/>
      </w:pPr>
      <w:rPr>
        <w:rFonts w:ascii="Symbol" w:hAnsi="Symbol" w:hint="default"/>
      </w:rPr>
    </w:lvl>
    <w:lvl w:ilvl="7" w:tplc="238612CE" w:tentative="1">
      <w:start w:val="1"/>
      <w:numFmt w:val="bullet"/>
      <w:lvlText w:val="o"/>
      <w:lvlJc w:val="left"/>
      <w:pPr>
        <w:ind w:left="6840" w:hanging="360"/>
      </w:pPr>
      <w:rPr>
        <w:rFonts w:ascii="Courier New" w:hAnsi="Courier New" w:cs="Courier New" w:hint="default"/>
      </w:rPr>
    </w:lvl>
    <w:lvl w:ilvl="8" w:tplc="B4244772"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567E8624">
      <w:start w:val="1"/>
      <w:numFmt w:val="bullet"/>
      <w:pStyle w:val="Bullet2"/>
      <w:lvlText w:val=""/>
      <w:lvlJc w:val="left"/>
      <w:pPr>
        <w:tabs>
          <w:tab w:val="num" w:pos="720"/>
        </w:tabs>
        <w:ind w:left="720" w:hanging="363"/>
      </w:pPr>
      <w:rPr>
        <w:rFonts w:ascii="Symbol" w:hAnsi="Symbol" w:hint="default"/>
      </w:rPr>
    </w:lvl>
    <w:lvl w:ilvl="1" w:tplc="AEE413A6">
      <w:start w:val="1"/>
      <w:numFmt w:val="bullet"/>
      <w:lvlText w:val="o"/>
      <w:lvlJc w:val="left"/>
      <w:pPr>
        <w:tabs>
          <w:tab w:val="num" w:pos="1440"/>
        </w:tabs>
        <w:ind w:left="1440" w:hanging="360"/>
      </w:pPr>
      <w:rPr>
        <w:rFonts w:ascii="Courier New" w:hAnsi="Courier New" w:hint="default"/>
      </w:rPr>
    </w:lvl>
    <w:lvl w:ilvl="2" w:tplc="0CB02A08">
      <w:start w:val="1"/>
      <w:numFmt w:val="bullet"/>
      <w:lvlText w:val=""/>
      <w:lvlJc w:val="left"/>
      <w:pPr>
        <w:tabs>
          <w:tab w:val="num" w:pos="2160"/>
        </w:tabs>
        <w:ind w:left="2160" w:hanging="360"/>
      </w:pPr>
      <w:rPr>
        <w:rFonts w:ascii="Wingdings" w:hAnsi="Wingdings" w:hint="default"/>
      </w:rPr>
    </w:lvl>
    <w:lvl w:ilvl="3" w:tplc="B8ECBF8E">
      <w:start w:val="1"/>
      <w:numFmt w:val="bullet"/>
      <w:lvlText w:val=""/>
      <w:lvlJc w:val="left"/>
      <w:pPr>
        <w:tabs>
          <w:tab w:val="num" w:pos="2880"/>
        </w:tabs>
        <w:ind w:left="2880" w:hanging="360"/>
      </w:pPr>
      <w:rPr>
        <w:rFonts w:ascii="Symbol" w:hAnsi="Symbol" w:hint="default"/>
      </w:rPr>
    </w:lvl>
    <w:lvl w:ilvl="4" w:tplc="48C66A58">
      <w:start w:val="1"/>
      <w:numFmt w:val="bullet"/>
      <w:lvlText w:val="o"/>
      <w:lvlJc w:val="left"/>
      <w:pPr>
        <w:tabs>
          <w:tab w:val="num" w:pos="3600"/>
        </w:tabs>
        <w:ind w:left="3600" w:hanging="360"/>
      </w:pPr>
      <w:rPr>
        <w:rFonts w:ascii="Courier New" w:hAnsi="Courier New" w:hint="default"/>
      </w:rPr>
    </w:lvl>
    <w:lvl w:ilvl="5" w:tplc="525E4838">
      <w:start w:val="1"/>
      <w:numFmt w:val="bullet"/>
      <w:lvlText w:val=""/>
      <w:lvlJc w:val="left"/>
      <w:pPr>
        <w:tabs>
          <w:tab w:val="num" w:pos="4320"/>
        </w:tabs>
        <w:ind w:left="4320" w:hanging="360"/>
      </w:pPr>
      <w:rPr>
        <w:rFonts w:ascii="Wingdings" w:hAnsi="Wingdings" w:hint="default"/>
      </w:rPr>
    </w:lvl>
    <w:lvl w:ilvl="6" w:tplc="F9CA48D8">
      <w:start w:val="1"/>
      <w:numFmt w:val="bullet"/>
      <w:lvlText w:val=""/>
      <w:lvlJc w:val="left"/>
      <w:pPr>
        <w:tabs>
          <w:tab w:val="num" w:pos="5040"/>
        </w:tabs>
        <w:ind w:left="5040" w:hanging="360"/>
      </w:pPr>
      <w:rPr>
        <w:rFonts w:ascii="Symbol" w:hAnsi="Symbol" w:hint="default"/>
      </w:rPr>
    </w:lvl>
    <w:lvl w:ilvl="7" w:tplc="E6B43CB4">
      <w:start w:val="1"/>
      <w:numFmt w:val="bullet"/>
      <w:lvlText w:val="o"/>
      <w:lvlJc w:val="left"/>
      <w:pPr>
        <w:tabs>
          <w:tab w:val="num" w:pos="5760"/>
        </w:tabs>
        <w:ind w:left="5760" w:hanging="360"/>
      </w:pPr>
      <w:rPr>
        <w:rFonts w:ascii="Courier New" w:hAnsi="Courier New" w:hint="default"/>
      </w:rPr>
    </w:lvl>
    <w:lvl w:ilvl="8" w:tplc="4504167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BDD41CFC">
      <w:start w:val="1"/>
      <w:numFmt w:val="decimal"/>
      <w:lvlText w:val="%1."/>
      <w:lvlJc w:val="left"/>
      <w:pPr>
        <w:ind w:left="720" w:hanging="360"/>
      </w:pPr>
      <w:rPr>
        <w:rFonts w:hint="default"/>
      </w:rPr>
    </w:lvl>
    <w:lvl w:ilvl="1" w:tplc="43300766" w:tentative="1">
      <w:start w:val="1"/>
      <w:numFmt w:val="lowerLetter"/>
      <w:lvlText w:val="%2."/>
      <w:lvlJc w:val="left"/>
      <w:pPr>
        <w:ind w:left="1440" w:hanging="360"/>
      </w:pPr>
    </w:lvl>
    <w:lvl w:ilvl="2" w:tplc="55C26EFC" w:tentative="1">
      <w:start w:val="1"/>
      <w:numFmt w:val="lowerRoman"/>
      <w:lvlText w:val="%3."/>
      <w:lvlJc w:val="right"/>
      <w:pPr>
        <w:ind w:left="2160" w:hanging="180"/>
      </w:pPr>
    </w:lvl>
    <w:lvl w:ilvl="3" w:tplc="56D0E698" w:tentative="1">
      <w:start w:val="1"/>
      <w:numFmt w:val="decimal"/>
      <w:lvlText w:val="%4."/>
      <w:lvlJc w:val="left"/>
      <w:pPr>
        <w:ind w:left="2880" w:hanging="360"/>
      </w:pPr>
    </w:lvl>
    <w:lvl w:ilvl="4" w:tplc="1180B0E4" w:tentative="1">
      <w:start w:val="1"/>
      <w:numFmt w:val="lowerLetter"/>
      <w:lvlText w:val="%5."/>
      <w:lvlJc w:val="left"/>
      <w:pPr>
        <w:ind w:left="3600" w:hanging="360"/>
      </w:pPr>
    </w:lvl>
    <w:lvl w:ilvl="5" w:tplc="AC3265DA" w:tentative="1">
      <w:start w:val="1"/>
      <w:numFmt w:val="lowerRoman"/>
      <w:lvlText w:val="%6."/>
      <w:lvlJc w:val="right"/>
      <w:pPr>
        <w:ind w:left="4320" w:hanging="180"/>
      </w:pPr>
    </w:lvl>
    <w:lvl w:ilvl="6" w:tplc="C862F0FC" w:tentative="1">
      <w:start w:val="1"/>
      <w:numFmt w:val="decimal"/>
      <w:lvlText w:val="%7."/>
      <w:lvlJc w:val="left"/>
      <w:pPr>
        <w:ind w:left="5040" w:hanging="360"/>
      </w:pPr>
    </w:lvl>
    <w:lvl w:ilvl="7" w:tplc="9806C216" w:tentative="1">
      <w:start w:val="1"/>
      <w:numFmt w:val="lowerLetter"/>
      <w:lvlText w:val="%8."/>
      <w:lvlJc w:val="left"/>
      <w:pPr>
        <w:ind w:left="5760" w:hanging="360"/>
      </w:pPr>
    </w:lvl>
    <w:lvl w:ilvl="8" w:tplc="54C45324"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70C21AD4">
      <w:start w:val="1"/>
      <w:numFmt w:val="lowerRoman"/>
      <w:lvlText w:val="%1."/>
      <w:lvlJc w:val="right"/>
      <w:pPr>
        <w:ind w:left="1440" w:hanging="360"/>
      </w:pPr>
      <w:rPr>
        <w:rFonts w:cs="Times New Roman" w:hint="default"/>
      </w:rPr>
    </w:lvl>
    <w:lvl w:ilvl="1" w:tplc="A5A0871E">
      <w:start w:val="1"/>
      <w:numFmt w:val="lowerLetter"/>
      <w:lvlText w:val="%2."/>
      <w:lvlJc w:val="left"/>
      <w:pPr>
        <w:ind w:left="2160" w:hanging="360"/>
      </w:pPr>
      <w:rPr>
        <w:rFonts w:cs="Times New Roman"/>
      </w:rPr>
    </w:lvl>
    <w:lvl w:ilvl="2" w:tplc="EBD875A6" w:tentative="1">
      <w:start w:val="1"/>
      <w:numFmt w:val="lowerRoman"/>
      <w:lvlText w:val="%3."/>
      <w:lvlJc w:val="right"/>
      <w:pPr>
        <w:ind w:left="2880" w:hanging="180"/>
      </w:pPr>
      <w:rPr>
        <w:rFonts w:cs="Times New Roman"/>
      </w:rPr>
    </w:lvl>
    <w:lvl w:ilvl="3" w:tplc="BFC0B5CE" w:tentative="1">
      <w:start w:val="1"/>
      <w:numFmt w:val="decimal"/>
      <w:lvlText w:val="%4."/>
      <w:lvlJc w:val="left"/>
      <w:pPr>
        <w:ind w:left="3600" w:hanging="360"/>
      </w:pPr>
      <w:rPr>
        <w:rFonts w:cs="Times New Roman"/>
      </w:rPr>
    </w:lvl>
    <w:lvl w:ilvl="4" w:tplc="3ECEB204" w:tentative="1">
      <w:start w:val="1"/>
      <w:numFmt w:val="lowerLetter"/>
      <w:lvlText w:val="%5."/>
      <w:lvlJc w:val="left"/>
      <w:pPr>
        <w:ind w:left="4320" w:hanging="360"/>
      </w:pPr>
      <w:rPr>
        <w:rFonts w:cs="Times New Roman"/>
      </w:rPr>
    </w:lvl>
    <w:lvl w:ilvl="5" w:tplc="F11C6524" w:tentative="1">
      <w:start w:val="1"/>
      <w:numFmt w:val="lowerRoman"/>
      <w:lvlText w:val="%6."/>
      <w:lvlJc w:val="right"/>
      <w:pPr>
        <w:ind w:left="5040" w:hanging="180"/>
      </w:pPr>
      <w:rPr>
        <w:rFonts w:cs="Times New Roman"/>
      </w:rPr>
    </w:lvl>
    <w:lvl w:ilvl="6" w:tplc="6DEED5BE" w:tentative="1">
      <w:start w:val="1"/>
      <w:numFmt w:val="decimal"/>
      <w:lvlText w:val="%7."/>
      <w:lvlJc w:val="left"/>
      <w:pPr>
        <w:ind w:left="5760" w:hanging="360"/>
      </w:pPr>
      <w:rPr>
        <w:rFonts w:cs="Times New Roman"/>
      </w:rPr>
    </w:lvl>
    <w:lvl w:ilvl="7" w:tplc="6F34A6DC" w:tentative="1">
      <w:start w:val="1"/>
      <w:numFmt w:val="lowerLetter"/>
      <w:lvlText w:val="%8."/>
      <w:lvlJc w:val="left"/>
      <w:pPr>
        <w:ind w:left="6480" w:hanging="360"/>
      </w:pPr>
      <w:rPr>
        <w:rFonts w:cs="Times New Roman"/>
      </w:rPr>
    </w:lvl>
    <w:lvl w:ilvl="8" w:tplc="D32A89CE"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F7D2DD9A">
      <w:start w:val="1"/>
      <w:numFmt w:val="lowerRoman"/>
      <w:lvlText w:val="%1."/>
      <w:lvlJc w:val="right"/>
      <w:pPr>
        <w:ind w:left="1800" w:hanging="360"/>
      </w:pPr>
      <w:rPr>
        <w:rFonts w:cs="Times New Roman" w:hint="default"/>
        <w:b w:val="0"/>
      </w:rPr>
    </w:lvl>
    <w:lvl w:ilvl="1" w:tplc="05784E30">
      <w:start w:val="1"/>
      <w:numFmt w:val="lowerLetter"/>
      <w:lvlText w:val="%2."/>
      <w:lvlJc w:val="left"/>
      <w:pPr>
        <w:ind w:left="2520" w:hanging="360"/>
      </w:pPr>
      <w:rPr>
        <w:rFonts w:cs="Times New Roman"/>
      </w:rPr>
    </w:lvl>
    <w:lvl w:ilvl="2" w:tplc="094CE798" w:tentative="1">
      <w:start w:val="1"/>
      <w:numFmt w:val="lowerRoman"/>
      <w:lvlText w:val="%3."/>
      <w:lvlJc w:val="right"/>
      <w:pPr>
        <w:ind w:left="3240" w:hanging="180"/>
      </w:pPr>
      <w:rPr>
        <w:rFonts w:cs="Times New Roman"/>
      </w:rPr>
    </w:lvl>
    <w:lvl w:ilvl="3" w:tplc="66FEAF04" w:tentative="1">
      <w:start w:val="1"/>
      <w:numFmt w:val="decimal"/>
      <w:lvlText w:val="%4."/>
      <w:lvlJc w:val="left"/>
      <w:pPr>
        <w:ind w:left="3960" w:hanging="360"/>
      </w:pPr>
      <w:rPr>
        <w:rFonts w:cs="Times New Roman"/>
      </w:rPr>
    </w:lvl>
    <w:lvl w:ilvl="4" w:tplc="C5362372" w:tentative="1">
      <w:start w:val="1"/>
      <w:numFmt w:val="lowerLetter"/>
      <w:lvlText w:val="%5."/>
      <w:lvlJc w:val="left"/>
      <w:pPr>
        <w:ind w:left="4680" w:hanging="360"/>
      </w:pPr>
      <w:rPr>
        <w:rFonts w:cs="Times New Roman"/>
      </w:rPr>
    </w:lvl>
    <w:lvl w:ilvl="5" w:tplc="1B4A5394" w:tentative="1">
      <w:start w:val="1"/>
      <w:numFmt w:val="lowerRoman"/>
      <w:lvlText w:val="%6."/>
      <w:lvlJc w:val="right"/>
      <w:pPr>
        <w:ind w:left="5400" w:hanging="180"/>
      </w:pPr>
      <w:rPr>
        <w:rFonts w:cs="Times New Roman"/>
      </w:rPr>
    </w:lvl>
    <w:lvl w:ilvl="6" w:tplc="DFB6F3F0" w:tentative="1">
      <w:start w:val="1"/>
      <w:numFmt w:val="decimal"/>
      <w:lvlText w:val="%7."/>
      <w:lvlJc w:val="left"/>
      <w:pPr>
        <w:ind w:left="6120" w:hanging="360"/>
      </w:pPr>
      <w:rPr>
        <w:rFonts w:cs="Times New Roman"/>
      </w:rPr>
    </w:lvl>
    <w:lvl w:ilvl="7" w:tplc="D83E7E74" w:tentative="1">
      <w:start w:val="1"/>
      <w:numFmt w:val="lowerLetter"/>
      <w:lvlText w:val="%8."/>
      <w:lvlJc w:val="left"/>
      <w:pPr>
        <w:ind w:left="6840" w:hanging="360"/>
      </w:pPr>
      <w:rPr>
        <w:rFonts w:cs="Times New Roman"/>
      </w:rPr>
    </w:lvl>
    <w:lvl w:ilvl="8" w:tplc="CEE4AC3E"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299CCB6E">
      <w:start w:val="1"/>
      <w:numFmt w:val="decimal"/>
      <w:lvlText w:val="%1."/>
      <w:lvlJc w:val="left"/>
      <w:pPr>
        <w:ind w:left="720" w:hanging="360"/>
      </w:pPr>
      <w:rPr>
        <w:rFonts w:hint="default"/>
        <w:b/>
      </w:rPr>
    </w:lvl>
    <w:lvl w:ilvl="1" w:tplc="B2980866">
      <w:start w:val="1"/>
      <w:numFmt w:val="lowerLetter"/>
      <w:lvlText w:val="%2."/>
      <w:lvlJc w:val="left"/>
      <w:pPr>
        <w:ind w:left="1440" w:hanging="360"/>
      </w:pPr>
      <w:rPr>
        <w:b w:val="0"/>
      </w:rPr>
    </w:lvl>
    <w:lvl w:ilvl="2" w:tplc="7CA8BEA2" w:tentative="1">
      <w:start w:val="1"/>
      <w:numFmt w:val="lowerRoman"/>
      <w:lvlText w:val="%3."/>
      <w:lvlJc w:val="right"/>
      <w:pPr>
        <w:ind w:left="2160" w:hanging="180"/>
      </w:pPr>
    </w:lvl>
    <w:lvl w:ilvl="3" w:tplc="DA0A71DA" w:tentative="1">
      <w:start w:val="1"/>
      <w:numFmt w:val="decimal"/>
      <w:lvlText w:val="%4."/>
      <w:lvlJc w:val="left"/>
      <w:pPr>
        <w:ind w:left="2880" w:hanging="360"/>
      </w:pPr>
    </w:lvl>
    <w:lvl w:ilvl="4" w:tplc="2E6EAEFC" w:tentative="1">
      <w:start w:val="1"/>
      <w:numFmt w:val="lowerLetter"/>
      <w:lvlText w:val="%5."/>
      <w:lvlJc w:val="left"/>
      <w:pPr>
        <w:ind w:left="3600" w:hanging="360"/>
      </w:pPr>
    </w:lvl>
    <w:lvl w:ilvl="5" w:tplc="6EB21114" w:tentative="1">
      <w:start w:val="1"/>
      <w:numFmt w:val="lowerRoman"/>
      <w:lvlText w:val="%6."/>
      <w:lvlJc w:val="right"/>
      <w:pPr>
        <w:ind w:left="4320" w:hanging="180"/>
      </w:pPr>
    </w:lvl>
    <w:lvl w:ilvl="6" w:tplc="A0CC3D4E" w:tentative="1">
      <w:start w:val="1"/>
      <w:numFmt w:val="decimal"/>
      <w:lvlText w:val="%7."/>
      <w:lvlJc w:val="left"/>
      <w:pPr>
        <w:ind w:left="5040" w:hanging="360"/>
      </w:pPr>
    </w:lvl>
    <w:lvl w:ilvl="7" w:tplc="24285A56" w:tentative="1">
      <w:start w:val="1"/>
      <w:numFmt w:val="lowerLetter"/>
      <w:lvlText w:val="%8."/>
      <w:lvlJc w:val="left"/>
      <w:pPr>
        <w:ind w:left="5760" w:hanging="360"/>
      </w:pPr>
    </w:lvl>
    <w:lvl w:ilvl="8" w:tplc="FB48B9A6"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8CA2C7E2">
      <w:start w:val="1"/>
      <w:numFmt w:val="bullet"/>
      <w:pStyle w:val="Bullet4"/>
      <w:lvlText w:val=""/>
      <w:lvlJc w:val="left"/>
      <w:pPr>
        <w:tabs>
          <w:tab w:val="num" w:pos="1080"/>
        </w:tabs>
        <w:ind w:left="1078" w:hanging="358"/>
      </w:pPr>
      <w:rPr>
        <w:rFonts w:ascii="Symbol" w:hAnsi="Symbol" w:hint="default"/>
      </w:rPr>
    </w:lvl>
    <w:lvl w:ilvl="1" w:tplc="C7849486">
      <w:start w:val="1"/>
      <w:numFmt w:val="bullet"/>
      <w:lvlText w:val="o"/>
      <w:lvlJc w:val="left"/>
      <w:pPr>
        <w:tabs>
          <w:tab w:val="num" w:pos="1083"/>
        </w:tabs>
        <w:ind w:left="1083" w:hanging="360"/>
      </w:pPr>
      <w:rPr>
        <w:rFonts w:ascii="Courier New" w:hAnsi="Courier New" w:hint="default"/>
      </w:rPr>
    </w:lvl>
    <w:lvl w:ilvl="2" w:tplc="429CED60">
      <w:start w:val="1"/>
      <w:numFmt w:val="bullet"/>
      <w:lvlText w:val=""/>
      <w:lvlJc w:val="left"/>
      <w:pPr>
        <w:tabs>
          <w:tab w:val="num" w:pos="1803"/>
        </w:tabs>
        <w:ind w:left="1803" w:hanging="360"/>
      </w:pPr>
      <w:rPr>
        <w:rFonts w:ascii="Wingdings" w:hAnsi="Wingdings" w:hint="default"/>
      </w:rPr>
    </w:lvl>
    <w:lvl w:ilvl="3" w:tplc="13ECB920">
      <w:start w:val="1"/>
      <w:numFmt w:val="bullet"/>
      <w:lvlText w:val=""/>
      <w:lvlJc w:val="left"/>
      <w:pPr>
        <w:tabs>
          <w:tab w:val="num" w:pos="2523"/>
        </w:tabs>
        <w:ind w:left="2523" w:hanging="360"/>
      </w:pPr>
      <w:rPr>
        <w:rFonts w:ascii="Symbol" w:hAnsi="Symbol" w:hint="default"/>
      </w:rPr>
    </w:lvl>
    <w:lvl w:ilvl="4" w:tplc="8F9AB056">
      <w:start w:val="1"/>
      <w:numFmt w:val="bullet"/>
      <w:lvlText w:val="o"/>
      <w:lvlJc w:val="left"/>
      <w:pPr>
        <w:tabs>
          <w:tab w:val="num" w:pos="3243"/>
        </w:tabs>
        <w:ind w:left="3243" w:hanging="360"/>
      </w:pPr>
      <w:rPr>
        <w:rFonts w:ascii="Courier New" w:hAnsi="Courier New" w:hint="default"/>
      </w:rPr>
    </w:lvl>
    <w:lvl w:ilvl="5" w:tplc="53E25BAA">
      <w:start w:val="1"/>
      <w:numFmt w:val="bullet"/>
      <w:lvlText w:val=""/>
      <w:lvlJc w:val="left"/>
      <w:pPr>
        <w:tabs>
          <w:tab w:val="num" w:pos="3963"/>
        </w:tabs>
        <w:ind w:left="3963" w:hanging="360"/>
      </w:pPr>
      <w:rPr>
        <w:rFonts w:ascii="Wingdings" w:hAnsi="Wingdings" w:hint="default"/>
      </w:rPr>
    </w:lvl>
    <w:lvl w:ilvl="6" w:tplc="FB2C6FD0">
      <w:start w:val="1"/>
      <w:numFmt w:val="bullet"/>
      <w:lvlText w:val=""/>
      <w:lvlJc w:val="left"/>
      <w:pPr>
        <w:tabs>
          <w:tab w:val="num" w:pos="4683"/>
        </w:tabs>
        <w:ind w:left="4683" w:hanging="360"/>
      </w:pPr>
      <w:rPr>
        <w:rFonts w:ascii="Symbol" w:hAnsi="Symbol" w:hint="default"/>
      </w:rPr>
    </w:lvl>
    <w:lvl w:ilvl="7" w:tplc="EC22870A">
      <w:start w:val="1"/>
      <w:numFmt w:val="bullet"/>
      <w:lvlText w:val="o"/>
      <w:lvlJc w:val="left"/>
      <w:pPr>
        <w:tabs>
          <w:tab w:val="num" w:pos="5403"/>
        </w:tabs>
        <w:ind w:left="5403" w:hanging="360"/>
      </w:pPr>
      <w:rPr>
        <w:rFonts w:ascii="Courier New" w:hAnsi="Courier New" w:hint="default"/>
      </w:rPr>
    </w:lvl>
    <w:lvl w:ilvl="8" w:tplc="2020D338">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ED64AC62">
      <w:start w:val="1"/>
      <w:numFmt w:val="bullet"/>
      <w:pStyle w:val="Bullet3"/>
      <w:lvlText w:val=""/>
      <w:lvlJc w:val="left"/>
      <w:pPr>
        <w:tabs>
          <w:tab w:val="num" w:pos="1800"/>
        </w:tabs>
        <w:ind w:left="1797" w:hanging="357"/>
      </w:pPr>
      <w:rPr>
        <w:rFonts w:ascii="Symbol" w:hAnsi="Symbol" w:hint="default"/>
      </w:rPr>
    </w:lvl>
    <w:lvl w:ilvl="1" w:tplc="9C840ED2">
      <w:start w:val="1"/>
      <w:numFmt w:val="bullet"/>
      <w:lvlText w:val="o"/>
      <w:lvlJc w:val="left"/>
      <w:pPr>
        <w:tabs>
          <w:tab w:val="num" w:pos="2160"/>
        </w:tabs>
        <w:ind w:left="2160" w:hanging="360"/>
      </w:pPr>
      <w:rPr>
        <w:rFonts w:ascii="Courier New" w:hAnsi="Courier New" w:hint="default"/>
      </w:rPr>
    </w:lvl>
    <w:lvl w:ilvl="2" w:tplc="EED40288">
      <w:start w:val="1"/>
      <w:numFmt w:val="bullet"/>
      <w:lvlText w:val=""/>
      <w:lvlJc w:val="left"/>
      <w:pPr>
        <w:tabs>
          <w:tab w:val="num" w:pos="2880"/>
        </w:tabs>
        <w:ind w:left="2880" w:hanging="360"/>
      </w:pPr>
      <w:rPr>
        <w:rFonts w:ascii="Wingdings" w:hAnsi="Wingdings" w:hint="default"/>
      </w:rPr>
    </w:lvl>
    <w:lvl w:ilvl="3" w:tplc="9D147E94">
      <w:start w:val="1"/>
      <w:numFmt w:val="bullet"/>
      <w:lvlText w:val=""/>
      <w:lvlJc w:val="left"/>
      <w:pPr>
        <w:tabs>
          <w:tab w:val="num" w:pos="3600"/>
        </w:tabs>
        <w:ind w:left="3600" w:hanging="360"/>
      </w:pPr>
      <w:rPr>
        <w:rFonts w:ascii="Symbol" w:hAnsi="Symbol" w:hint="default"/>
      </w:rPr>
    </w:lvl>
    <w:lvl w:ilvl="4" w:tplc="591884D6">
      <w:start w:val="1"/>
      <w:numFmt w:val="bullet"/>
      <w:lvlText w:val="o"/>
      <w:lvlJc w:val="left"/>
      <w:pPr>
        <w:tabs>
          <w:tab w:val="num" w:pos="4320"/>
        </w:tabs>
        <w:ind w:left="4320" w:hanging="360"/>
      </w:pPr>
      <w:rPr>
        <w:rFonts w:ascii="Courier New" w:hAnsi="Courier New" w:hint="default"/>
      </w:rPr>
    </w:lvl>
    <w:lvl w:ilvl="5" w:tplc="A84AC916">
      <w:start w:val="1"/>
      <w:numFmt w:val="bullet"/>
      <w:lvlText w:val=""/>
      <w:lvlJc w:val="left"/>
      <w:pPr>
        <w:tabs>
          <w:tab w:val="num" w:pos="5040"/>
        </w:tabs>
        <w:ind w:left="5040" w:hanging="360"/>
      </w:pPr>
      <w:rPr>
        <w:rFonts w:ascii="Wingdings" w:hAnsi="Wingdings" w:hint="default"/>
      </w:rPr>
    </w:lvl>
    <w:lvl w:ilvl="6" w:tplc="C726B1E6">
      <w:start w:val="1"/>
      <w:numFmt w:val="bullet"/>
      <w:lvlText w:val=""/>
      <w:lvlJc w:val="left"/>
      <w:pPr>
        <w:tabs>
          <w:tab w:val="num" w:pos="5760"/>
        </w:tabs>
        <w:ind w:left="5760" w:hanging="360"/>
      </w:pPr>
      <w:rPr>
        <w:rFonts w:ascii="Symbol" w:hAnsi="Symbol" w:hint="default"/>
      </w:rPr>
    </w:lvl>
    <w:lvl w:ilvl="7" w:tplc="698A6E14">
      <w:start w:val="1"/>
      <w:numFmt w:val="bullet"/>
      <w:lvlText w:val="o"/>
      <w:lvlJc w:val="left"/>
      <w:pPr>
        <w:tabs>
          <w:tab w:val="num" w:pos="6480"/>
        </w:tabs>
        <w:ind w:left="6480" w:hanging="360"/>
      </w:pPr>
      <w:rPr>
        <w:rFonts w:ascii="Courier New" w:hAnsi="Courier New" w:hint="default"/>
      </w:rPr>
    </w:lvl>
    <w:lvl w:ilvl="8" w:tplc="84F2DD42">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7B6689F6">
      <w:start w:val="1"/>
      <w:numFmt w:val="lowerLetter"/>
      <w:lvlText w:val="%1."/>
      <w:lvlJc w:val="left"/>
      <w:pPr>
        <w:ind w:left="1080" w:hanging="360"/>
      </w:pPr>
      <w:rPr>
        <w:rFonts w:cs="Times New Roman" w:hint="default"/>
        <w:b/>
      </w:rPr>
    </w:lvl>
    <w:lvl w:ilvl="1" w:tplc="38160398">
      <w:start w:val="1"/>
      <w:numFmt w:val="lowerLetter"/>
      <w:lvlText w:val="%2."/>
      <w:lvlJc w:val="left"/>
      <w:pPr>
        <w:ind w:left="1800" w:hanging="360"/>
      </w:pPr>
      <w:rPr>
        <w:rFonts w:cs="Times New Roman"/>
      </w:rPr>
    </w:lvl>
    <w:lvl w:ilvl="2" w:tplc="1BCE2D60" w:tentative="1">
      <w:start w:val="1"/>
      <w:numFmt w:val="lowerRoman"/>
      <w:lvlText w:val="%3."/>
      <w:lvlJc w:val="right"/>
      <w:pPr>
        <w:ind w:left="2520" w:hanging="180"/>
      </w:pPr>
      <w:rPr>
        <w:rFonts w:cs="Times New Roman"/>
      </w:rPr>
    </w:lvl>
    <w:lvl w:ilvl="3" w:tplc="4500A562" w:tentative="1">
      <w:start w:val="1"/>
      <w:numFmt w:val="decimal"/>
      <w:lvlText w:val="%4."/>
      <w:lvlJc w:val="left"/>
      <w:pPr>
        <w:ind w:left="3240" w:hanging="360"/>
      </w:pPr>
      <w:rPr>
        <w:rFonts w:cs="Times New Roman"/>
      </w:rPr>
    </w:lvl>
    <w:lvl w:ilvl="4" w:tplc="3D7AD68C" w:tentative="1">
      <w:start w:val="1"/>
      <w:numFmt w:val="lowerLetter"/>
      <w:lvlText w:val="%5."/>
      <w:lvlJc w:val="left"/>
      <w:pPr>
        <w:ind w:left="3960" w:hanging="360"/>
      </w:pPr>
      <w:rPr>
        <w:rFonts w:cs="Times New Roman"/>
      </w:rPr>
    </w:lvl>
    <w:lvl w:ilvl="5" w:tplc="7BAE27C4" w:tentative="1">
      <w:start w:val="1"/>
      <w:numFmt w:val="lowerRoman"/>
      <w:lvlText w:val="%6."/>
      <w:lvlJc w:val="right"/>
      <w:pPr>
        <w:ind w:left="4680" w:hanging="180"/>
      </w:pPr>
      <w:rPr>
        <w:rFonts w:cs="Times New Roman"/>
      </w:rPr>
    </w:lvl>
    <w:lvl w:ilvl="6" w:tplc="E05E0800" w:tentative="1">
      <w:start w:val="1"/>
      <w:numFmt w:val="decimal"/>
      <w:lvlText w:val="%7."/>
      <w:lvlJc w:val="left"/>
      <w:pPr>
        <w:ind w:left="5400" w:hanging="360"/>
      </w:pPr>
      <w:rPr>
        <w:rFonts w:cs="Times New Roman"/>
      </w:rPr>
    </w:lvl>
    <w:lvl w:ilvl="7" w:tplc="52F630B4" w:tentative="1">
      <w:start w:val="1"/>
      <w:numFmt w:val="lowerLetter"/>
      <w:lvlText w:val="%8."/>
      <w:lvlJc w:val="left"/>
      <w:pPr>
        <w:ind w:left="6120" w:hanging="360"/>
      </w:pPr>
      <w:rPr>
        <w:rFonts w:cs="Times New Roman"/>
      </w:rPr>
    </w:lvl>
    <w:lvl w:ilvl="8" w:tplc="E500C0DC"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EDC8AABC">
      <w:start w:val="1"/>
      <w:numFmt w:val="bullet"/>
      <w:pStyle w:val="Bullet5"/>
      <w:lvlText w:val=""/>
      <w:lvlJc w:val="left"/>
      <w:pPr>
        <w:tabs>
          <w:tab w:val="num" w:pos="1795"/>
        </w:tabs>
        <w:ind w:left="1792" w:hanging="357"/>
      </w:pPr>
      <w:rPr>
        <w:rFonts w:ascii="Symbol" w:hAnsi="Symbol" w:hint="default"/>
      </w:rPr>
    </w:lvl>
    <w:lvl w:ilvl="1" w:tplc="5958EDDC">
      <w:start w:val="1"/>
      <w:numFmt w:val="bullet"/>
      <w:lvlText w:val="o"/>
      <w:lvlJc w:val="left"/>
      <w:pPr>
        <w:tabs>
          <w:tab w:val="num" w:pos="1440"/>
        </w:tabs>
        <w:ind w:left="1440" w:hanging="360"/>
      </w:pPr>
      <w:rPr>
        <w:rFonts w:ascii="Courier New" w:hAnsi="Courier New" w:hint="default"/>
      </w:rPr>
    </w:lvl>
    <w:lvl w:ilvl="2" w:tplc="B26C65BC">
      <w:start w:val="1"/>
      <w:numFmt w:val="bullet"/>
      <w:lvlText w:val=""/>
      <w:lvlJc w:val="left"/>
      <w:pPr>
        <w:tabs>
          <w:tab w:val="num" w:pos="2160"/>
        </w:tabs>
        <w:ind w:left="2160" w:hanging="360"/>
      </w:pPr>
      <w:rPr>
        <w:rFonts w:ascii="Wingdings" w:hAnsi="Wingdings" w:hint="default"/>
      </w:rPr>
    </w:lvl>
    <w:lvl w:ilvl="3" w:tplc="6C882604">
      <w:start w:val="1"/>
      <w:numFmt w:val="bullet"/>
      <w:lvlText w:val=""/>
      <w:lvlJc w:val="left"/>
      <w:pPr>
        <w:tabs>
          <w:tab w:val="num" w:pos="2880"/>
        </w:tabs>
        <w:ind w:left="2880" w:hanging="360"/>
      </w:pPr>
      <w:rPr>
        <w:rFonts w:ascii="Symbol" w:hAnsi="Symbol" w:hint="default"/>
      </w:rPr>
    </w:lvl>
    <w:lvl w:ilvl="4" w:tplc="D72E88A8">
      <w:start w:val="1"/>
      <w:numFmt w:val="bullet"/>
      <w:lvlText w:val="o"/>
      <w:lvlJc w:val="left"/>
      <w:pPr>
        <w:tabs>
          <w:tab w:val="num" w:pos="3600"/>
        </w:tabs>
        <w:ind w:left="3600" w:hanging="360"/>
      </w:pPr>
      <w:rPr>
        <w:rFonts w:ascii="Courier New" w:hAnsi="Courier New" w:hint="default"/>
      </w:rPr>
    </w:lvl>
    <w:lvl w:ilvl="5" w:tplc="390CD8EC">
      <w:start w:val="1"/>
      <w:numFmt w:val="bullet"/>
      <w:lvlText w:val=""/>
      <w:lvlJc w:val="left"/>
      <w:pPr>
        <w:tabs>
          <w:tab w:val="num" w:pos="4320"/>
        </w:tabs>
        <w:ind w:left="4320" w:hanging="360"/>
      </w:pPr>
      <w:rPr>
        <w:rFonts w:ascii="Wingdings" w:hAnsi="Wingdings" w:hint="default"/>
      </w:rPr>
    </w:lvl>
    <w:lvl w:ilvl="6" w:tplc="5ED6C892">
      <w:start w:val="1"/>
      <w:numFmt w:val="bullet"/>
      <w:lvlText w:val=""/>
      <w:lvlJc w:val="left"/>
      <w:pPr>
        <w:tabs>
          <w:tab w:val="num" w:pos="5040"/>
        </w:tabs>
        <w:ind w:left="5040" w:hanging="360"/>
      </w:pPr>
      <w:rPr>
        <w:rFonts w:ascii="Symbol" w:hAnsi="Symbol" w:hint="default"/>
      </w:rPr>
    </w:lvl>
    <w:lvl w:ilvl="7" w:tplc="39BAE72C">
      <w:start w:val="1"/>
      <w:numFmt w:val="bullet"/>
      <w:lvlText w:val="o"/>
      <w:lvlJc w:val="left"/>
      <w:pPr>
        <w:tabs>
          <w:tab w:val="num" w:pos="5760"/>
        </w:tabs>
        <w:ind w:left="5760" w:hanging="360"/>
      </w:pPr>
      <w:rPr>
        <w:rFonts w:ascii="Courier New" w:hAnsi="Courier New" w:hint="default"/>
      </w:rPr>
    </w:lvl>
    <w:lvl w:ilvl="8" w:tplc="2C7ABA9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C41AD430">
      <w:start w:val="1"/>
      <w:numFmt w:val="bullet"/>
      <w:pStyle w:val="Bullet6"/>
      <w:lvlText w:val=""/>
      <w:lvlJc w:val="left"/>
      <w:pPr>
        <w:tabs>
          <w:tab w:val="num" w:pos="2152"/>
        </w:tabs>
        <w:ind w:left="2149" w:hanging="357"/>
      </w:pPr>
      <w:rPr>
        <w:rFonts w:ascii="Symbol" w:hAnsi="Symbol" w:hint="default"/>
      </w:rPr>
    </w:lvl>
    <w:lvl w:ilvl="1" w:tplc="AF644316">
      <w:start w:val="1"/>
      <w:numFmt w:val="bullet"/>
      <w:lvlText w:val="o"/>
      <w:lvlJc w:val="left"/>
      <w:pPr>
        <w:tabs>
          <w:tab w:val="num" w:pos="1440"/>
        </w:tabs>
        <w:ind w:left="1440" w:hanging="360"/>
      </w:pPr>
      <w:rPr>
        <w:rFonts w:ascii="Courier New" w:hAnsi="Courier New" w:hint="default"/>
      </w:rPr>
    </w:lvl>
    <w:lvl w:ilvl="2" w:tplc="0A54AF90">
      <w:start w:val="1"/>
      <w:numFmt w:val="bullet"/>
      <w:lvlText w:val=""/>
      <w:lvlJc w:val="left"/>
      <w:pPr>
        <w:tabs>
          <w:tab w:val="num" w:pos="2160"/>
        </w:tabs>
        <w:ind w:left="2160" w:hanging="360"/>
      </w:pPr>
      <w:rPr>
        <w:rFonts w:ascii="Wingdings" w:hAnsi="Wingdings" w:hint="default"/>
      </w:rPr>
    </w:lvl>
    <w:lvl w:ilvl="3" w:tplc="9B1E52B0">
      <w:start w:val="1"/>
      <w:numFmt w:val="bullet"/>
      <w:lvlText w:val=""/>
      <w:lvlJc w:val="left"/>
      <w:pPr>
        <w:tabs>
          <w:tab w:val="num" w:pos="2880"/>
        </w:tabs>
        <w:ind w:left="2880" w:hanging="360"/>
      </w:pPr>
      <w:rPr>
        <w:rFonts w:ascii="Symbol" w:hAnsi="Symbol" w:hint="default"/>
      </w:rPr>
    </w:lvl>
    <w:lvl w:ilvl="4" w:tplc="8ABE2B72">
      <w:start w:val="1"/>
      <w:numFmt w:val="bullet"/>
      <w:lvlText w:val="o"/>
      <w:lvlJc w:val="left"/>
      <w:pPr>
        <w:tabs>
          <w:tab w:val="num" w:pos="3600"/>
        </w:tabs>
        <w:ind w:left="3600" w:hanging="360"/>
      </w:pPr>
      <w:rPr>
        <w:rFonts w:ascii="Courier New" w:hAnsi="Courier New" w:hint="default"/>
      </w:rPr>
    </w:lvl>
    <w:lvl w:ilvl="5" w:tplc="1D94250C">
      <w:start w:val="1"/>
      <w:numFmt w:val="bullet"/>
      <w:lvlText w:val=""/>
      <w:lvlJc w:val="left"/>
      <w:pPr>
        <w:tabs>
          <w:tab w:val="num" w:pos="4320"/>
        </w:tabs>
        <w:ind w:left="4320" w:hanging="360"/>
      </w:pPr>
      <w:rPr>
        <w:rFonts w:ascii="Wingdings" w:hAnsi="Wingdings" w:hint="default"/>
      </w:rPr>
    </w:lvl>
    <w:lvl w:ilvl="6" w:tplc="8FBECFB6">
      <w:start w:val="1"/>
      <w:numFmt w:val="bullet"/>
      <w:lvlText w:val=""/>
      <w:lvlJc w:val="left"/>
      <w:pPr>
        <w:tabs>
          <w:tab w:val="num" w:pos="5040"/>
        </w:tabs>
        <w:ind w:left="5040" w:hanging="360"/>
      </w:pPr>
      <w:rPr>
        <w:rFonts w:ascii="Symbol" w:hAnsi="Symbol" w:hint="default"/>
      </w:rPr>
    </w:lvl>
    <w:lvl w:ilvl="7" w:tplc="177EC610">
      <w:start w:val="1"/>
      <w:numFmt w:val="bullet"/>
      <w:lvlText w:val="o"/>
      <w:lvlJc w:val="left"/>
      <w:pPr>
        <w:tabs>
          <w:tab w:val="num" w:pos="5760"/>
        </w:tabs>
        <w:ind w:left="5760" w:hanging="360"/>
      </w:pPr>
      <w:rPr>
        <w:rFonts w:ascii="Courier New" w:hAnsi="Courier New" w:hint="default"/>
      </w:rPr>
    </w:lvl>
    <w:lvl w:ilvl="8" w:tplc="FD844FB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C0E4A2C6">
      <w:start w:val="1"/>
      <w:numFmt w:val="upperLetter"/>
      <w:lvlText w:val="%1."/>
      <w:lvlJc w:val="left"/>
      <w:pPr>
        <w:ind w:left="720" w:hanging="360"/>
      </w:pPr>
      <w:rPr>
        <w:rFonts w:cs="Times New Roman" w:hint="default"/>
        <w:b/>
        <w:bCs/>
      </w:rPr>
    </w:lvl>
    <w:lvl w:ilvl="1" w:tplc="0884F752">
      <w:start w:val="1"/>
      <w:numFmt w:val="lowerLetter"/>
      <w:lvlText w:val="%2."/>
      <w:lvlJc w:val="left"/>
      <w:pPr>
        <w:ind w:left="1440" w:hanging="360"/>
      </w:pPr>
      <w:rPr>
        <w:rFonts w:cs="Times New Roman"/>
      </w:rPr>
    </w:lvl>
    <w:lvl w:ilvl="2" w:tplc="99445530" w:tentative="1">
      <w:start w:val="1"/>
      <w:numFmt w:val="lowerRoman"/>
      <w:lvlText w:val="%3."/>
      <w:lvlJc w:val="right"/>
      <w:pPr>
        <w:ind w:left="2160" w:hanging="180"/>
      </w:pPr>
      <w:rPr>
        <w:rFonts w:cs="Times New Roman"/>
      </w:rPr>
    </w:lvl>
    <w:lvl w:ilvl="3" w:tplc="8822F558" w:tentative="1">
      <w:start w:val="1"/>
      <w:numFmt w:val="decimal"/>
      <w:lvlText w:val="%4."/>
      <w:lvlJc w:val="left"/>
      <w:pPr>
        <w:ind w:left="2880" w:hanging="360"/>
      </w:pPr>
      <w:rPr>
        <w:rFonts w:cs="Times New Roman"/>
      </w:rPr>
    </w:lvl>
    <w:lvl w:ilvl="4" w:tplc="B192BE3E" w:tentative="1">
      <w:start w:val="1"/>
      <w:numFmt w:val="lowerLetter"/>
      <w:lvlText w:val="%5."/>
      <w:lvlJc w:val="left"/>
      <w:pPr>
        <w:ind w:left="3600" w:hanging="360"/>
      </w:pPr>
      <w:rPr>
        <w:rFonts w:cs="Times New Roman"/>
      </w:rPr>
    </w:lvl>
    <w:lvl w:ilvl="5" w:tplc="02EA4724" w:tentative="1">
      <w:start w:val="1"/>
      <w:numFmt w:val="lowerRoman"/>
      <w:lvlText w:val="%6."/>
      <w:lvlJc w:val="right"/>
      <w:pPr>
        <w:ind w:left="4320" w:hanging="180"/>
      </w:pPr>
      <w:rPr>
        <w:rFonts w:cs="Times New Roman"/>
      </w:rPr>
    </w:lvl>
    <w:lvl w:ilvl="6" w:tplc="A3C671A6" w:tentative="1">
      <w:start w:val="1"/>
      <w:numFmt w:val="decimal"/>
      <w:lvlText w:val="%7."/>
      <w:lvlJc w:val="left"/>
      <w:pPr>
        <w:ind w:left="5040" w:hanging="360"/>
      </w:pPr>
      <w:rPr>
        <w:rFonts w:cs="Times New Roman"/>
      </w:rPr>
    </w:lvl>
    <w:lvl w:ilvl="7" w:tplc="8688A3EC" w:tentative="1">
      <w:start w:val="1"/>
      <w:numFmt w:val="lowerLetter"/>
      <w:lvlText w:val="%8."/>
      <w:lvlJc w:val="left"/>
      <w:pPr>
        <w:ind w:left="5760" w:hanging="360"/>
      </w:pPr>
      <w:rPr>
        <w:rFonts w:cs="Times New Roman"/>
      </w:rPr>
    </w:lvl>
    <w:lvl w:ilvl="8" w:tplc="FF68E402"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36ACD"/>
    <w:rsid w:val="00240122"/>
    <w:rsid w:val="00240B01"/>
    <w:rsid w:val="00244BB6"/>
    <w:rsid w:val="00245370"/>
    <w:rsid w:val="00245690"/>
    <w:rsid w:val="00250922"/>
    <w:rsid w:val="00250FC4"/>
    <w:rsid w:val="00257A3E"/>
    <w:rsid w:val="002664E5"/>
    <w:rsid w:val="00267236"/>
    <w:rsid w:val="00271F2B"/>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3534"/>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B59D7"/>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098"/>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159A5"/>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40EB"/>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1DE"/>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82B"/>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2C8"/>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1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2019-02-27T22:06:00Z</dcterms:created>
  <dcterms:modified xsi:type="dcterms:W3CDTF">2019-02-27T22:07:00Z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2019-02-27T22:07:02.5867621Z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d1a3b99c-82fb-4724-bc48-a66ed28e58cd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