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FD28" w14:textId="77777777" w:rsidR="00431D2B" w:rsidRPr="0038341F" w:rsidRDefault="0038341F" w:rsidP="00431D2B">
      <w:pPr>
        <w:pStyle w:val="HeadingEULA"/>
        <w:widowControl w:val="0"/>
        <w:rPr>
          <w:rFonts w:eastAsia="SimSun"/>
          <w:sz w:val="19"/>
          <w:szCs w:val="19"/>
          <w:lang w:val="de-DE"/>
        </w:rPr>
      </w:pPr>
      <w:bookmarkStart w:id="0" w:name="_GoBack"/>
      <w:bookmarkEnd w:id="0"/>
      <w:r>
        <w:rPr>
          <w:rFonts w:eastAsia="Tahoma"/>
          <w:sz w:val="19"/>
          <w:szCs w:val="19"/>
          <w:lang w:val="de-DE"/>
        </w:rPr>
        <w:t>MICROSOFT-SOFTWARE-LIZENZBEDINGUNGEN</w:t>
      </w:r>
    </w:p>
    <w:p w14:paraId="1D86C6D8" w14:textId="77777777" w:rsidR="00431D2B" w:rsidRPr="0038341F" w:rsidRDefault="0038341F" w:rsidP="006B2A67">
      <w:pPr>
        <w:pStyle w:val="HeadingSoftwareTitle"/>
        <w:widowControl w:val="0"/>
        <w:rPr>
          <w:rFonts w:eastAsia="SimSun"/>
          <w:sz w:val="19"/>
          <w:szCs w:val="19"/>
          <w:lang w:val="de-DE"/>
        </w:rPr>
      </w:pPr>
      <w:r>
        <w:rPr>
          <w:rFonts w:eastAsia="Tahoma"/>
          <w:sz w:val="19"/>
          <w:szCs w:val="19"/>
          <w:lang w:val="de-DE"/>
        </w:rPr>
        <w:t xml:space="preserve">MICROSOFT VISUAL STUDIO ENTERPRISE 2019, VISUAL STUDIO PROFESSIONAL 2019, </w:t>
      </w:r>
      <w:r>
        <w:rPr>
          <w:rFonts w:eastAsia="Tahoma"/>
          <w:sz w:val="19"/>
          <w:szCs w:val="19"/>
          <w:lang w:val="de-DE"/>
        </w:rPr>
        <w:br/>
        <w:t>VISUAL STUDIO TEST PROFESSIONAL 2019 UND TESTVERSION</w:t>
      </w:r>
    </w:p>
    <w:p w14:paraId="568701BE" w14:textId="3C89F2E0" w:rsidR="00431D2B" w:rsidRPr="0038341F" w:rsidRDefault="0038341F" w:rsidP="0005493C">
      <w:pPr>
        <w:rPr>
          <w:rFonts w:eastAsia="SimSun"/>
          <w:lang w:val="de-DE"/>
        </w:rPr>
      </w:pPr>
      <w:r>
        <w:rPr>
          <w:rFonts w:eastAsia="Tahoma"/>
          <w:lang w:val="de-DE"/>
        </w:rPr>
        <w:t xml:space="preserve">Bei diesen Lizenzbestimmungen handelt es sich um eine Vereinbarung zwischen Ihnen und der Microsoft Corporation (oder je nach Ihrem Wohnsitz, einem ihrer Affiliate-Partner). Diese gelten für die oben angeführte Software. Die Bestimmungen gelten auch für alle Microsoft-Dienste und Aktualisierungen für die Software, es sei denn, dass diese abweichende Bestimmungen haben. </w:t>
      </w:r>
    </w:p>
    <w:p w14:paraId="145AB57C" w14:textId="77777777" w:rsidR="00431D2B" w:rsidRPr="0038341F" w:rsidRDefault="0038341F" w:rsidP="0005493C">
      <w:pPr>
        <w:pStyle w:val="Preamble"/>
        <w:widowControl w:val="0"/>
        <w:spacing w:before="0" w:after="0"/>
        <w:rPr>
          <w:rFonts w:eastAsia="SimSun"/>
          <w:lang w:val="de-DE"/>
        </w:rPr>
      </w:pPr>
      <w:r>
        <w:rPr>
          <w:rFonts w:eastAsia="Tahoma"/>
          <w:lang w:val="de-DE"/>
        </w:rPr>
        <w:t>DURCH DIE VERWENDUNG DER SOFTWARE ERKENNEN SIE DIESE BEDINGUNGEN AN. WENN SIE SIE NICHT AKZEPTIEREN, NUTZEN SIE DIE SOFTWARE BITTE NICHT. GEBEN SIE DIESE STATTDESSEN DEM EINZELHÄNDLER GEGEN RÜCKERSTATTUNG ODER GUTSCHRIFT DES KAUFPREISES ZURÜCK.</w:t>
      </w:r>
      <w:r>
        <w:rPr>
          <w:rFonts w:eastAsia="Tahoma"/>
          <w:b w:val="0"/>
          <w:bCs w:val="0"/>
          <w:lang w:val="de-DE"/>
        </w:rPr>
        <w:t xml:space="preserve"> Wenn Sie dort keine Erstattung erlangen können, wenden Sie sich an Microsoft in Sachen Erstattungsrichtlinien von Microsoft. Siehe www.microsoft.com/worldwide. In den USA oder Kanada rufen Sie (800) MICROSOFT an oder informieren Sie sich unter </w:t>
      </w:r>
      <w:r>
        <w:rPr>
          <w:rFonts w:eastAsia="Tahoma"/>
          <w:lang w:val="de-DE"/>
        </w:rPr>
        <w:t xml:space="preserve"> </w:t>
      </w:r>
      <w:r>
        <w:rPr>
          <w:rFonts w:eastAsia="Tahoma"/>
          <w:b w:val="0"/>
          <w:bCs w:val="0"/>
          <w:lang w:val="de-DE"/>
        </w:rPr>
        <w:t>aka.ms/nareturns.</w:t>
      </w:r>
      <w:r>
        <w:rPr>
          <w:rFonts w:eastAsia="Tahoma"/>
          <w:lang w:val="de-DE"/>
        </w:rPr>
        <w:t xml:space="preserve"> </w:t>
      </w:r>
    </w:p>
    <w:p w14:paraId="76F11941" w14:textId="77777777" w:rsidR="007B61B3" w:rsidRPr="0038341F" w:rsidRDefault="0038341F" w:rsidP="00462F7B">
      <w:pPr>
        <w:pStyle w:val="Preamble"/>
        <w:tabs>
          <w:tab w:val="left" w:leader="underscore" w:pos="9360"/>
        </w:tabs>
        <w:spacing w:before="0" w:after="0"/>
        <w:rPr>
          <w:b w:val="0"/>
          <w:lang w:val="de-DE"/>
        </w:rPr>
      </w:pPr>
      <w:r w:rsidRPr="0038341F">
        <w:rPr>
          <w:b w:val="0"/>
          <w:lang w:val="de-DE"/>
        </w:rPr>
        <w:tab/>
      </w:r>
    </w:p>
    <w:p w14:paraId="1A62D032" w14:textId="1F612FCE" w:rsidR="00B43CFA" w:rsidRPr="0038341F" w:rsidRDefault="0038341F" w:rsidP="008C55BE">
      <w:pPr>
        <w:pStyle w:val="Heading1"/>
        <w:numPr>
          <w:ilvl w:val="0"/>
          <w:numId w:val="0"/>
        </w:numPr>
        <w:rPr>
          <w:b w:val="0"/>
          <w:bCs w:val="0"/>
          <w:lang w:val="de-DE"/>
        </w:rPr>
      </w:pPr>
      <w:r>
        <w:rPr>
          <w:rFonts w:eastAsia="Tahoma"/>
          <w:lang w:val="de-DE"/>
        </w:rPr>
        <w:t xml:space="preserve">RECHTE ZUR NUTZUNG VON TESTVERSIONEN. </w:t>
      </w:r>
      <w:r>
        <w:rPr>
          <w:rFonts w:eastAsia="Tahoma"/>
          <w:b w:val="0"/>
          <w:bCs w:val="0"/>
          <w:lang w:val="de-DE"/>
        </w:rPr>
        <w:t xml:space="preserve">Wenn Sie keine gültige Vollversion erworben haben, es sich bei der Software um eine Testversion handelt, gilt dieser Abschnitt für Ihre Nutzung der Testversion. </w:t>
      </w:r>
    </w:p>
    <w:p w14:paraId="5BD9D21F" w14:textId="77777777" w:rsidR="00B43CFA" w:rsidRPr="0038341F" w:rsidRDefault="0038341F" w:rsidP="001D3A43">
      <w:pPr>
        <w:pStyle w:val="Heading1"/>
        <w:numPr>
          <w:ilvl w:val="0"/>
          <w:numId w:val="12"/>
        </w:numPr>
        <w:rPr>
          <w:b w:val="0"/>
          <w:bCs w:val="0"/>
          <w:lang w:val="de-DE"/>
        </w:rPr>
      </w:pPr>
      <w:r>
        <w:rPr>
          <w:rFonts w:eastAsia="Tahoma"/>
          <w:lang w:val="de-DE"/>
        </w:rPr>
        <w:t xml:space="preserve">ALLGEMEIN.  </w:t>
      </w:r>
      <w:r>
        <w:rPr>
          <w:rFonts w:eastAsia="Tahoma"/>
          <w:b w:val="0"/>
          <w:bCs w:val="0"/>
          <w:lang w:val="de-DE"/>
        </w:rPr>
        <w:t xml:space="preserve">Sie sind berechtigt, eine beliebige Anzahl von Kopien der Testversion auf Ihren Geräten zu verwenden. Sie dürfen die Testversion nur für interne Bewertungszwecke und nur während des Testzeitraums nutzen. Sie sind nicht berechtigt, Anwendungen, die Sie mit der Testversion erstellen, an eine Produktionsumgebung zu verteilen oder dort bereitzustellen. Sie sind berechtigt, während des Testzeitraums Auslastungstests im Umfang von bis zu 250 virtuellen Nutzern durchzuführen. </w:t>
      </w:r>
    </w:p>
    <w:p w14:paraId="4E5EE5CC" w14:textId="77777777" w:rsidR="00AE4C6E" w:rsidRPr="0038341F" w:rsidRDefault="0038341F" w:rsidP="001D3A43">
      <w:pPr>
        <w:pStyle w:val="ListParagraph"/>
        <w:numPr>
          <w:ilvl w:val="0"/>
          <w:numId w:val="12"/>
        </w:numPr>
        <w:rPr>
          <w:b/>
          <w:lang w:val="de-DE"/>
        </w:rPr>
      </w:pPr>
      <w:r>
        <w:rPr>
          <w:rFonts w:eastAsia="Tahoma"/>
          <w:b/>
          <w:bCs/>
          <w:lang w:val="de-DE"/>
        </w:rPr>
        <w:t>TESTZEITRAUM UND KONVERTIERUNG.</w:t>
      </w:r>
      <w:r>
        <w:rPr>
          <w:rFonts w:eastAsia="Tahoma"/>
          <w:lang w:val="de-DE"/>
        </w:rPr>
        <w:t xml:space="preserve"> Die Probezeit dauert 30 Tage, nachdem Sie die Testversion installiert haben, plus eine gewährte Verlängerungsperiode. Nach dem Ablauf des Testzeitraums kann die Testversion nicht mehr ausgeführt werden. Sie sind berechtigt, den Testzeitraum um weitere 90 Tage zu verlängern, wenn Sie sich in die Software einloggen. Nachdem die Software nicht mehr ausgeführt wird, können Sie möglicherweise nicht mehr auf mit der Testversion verwendete Daten zugreifen. Sie sind berechtigt, Ihre Testrechte jederzeit in die unten beschriebenen Rechte zur vollständigen Verwendung zu konvertieren, indem Sie eine gültige Lizenz zur vollständigen Verwendung erwerben. </w:t>
      </w:r>
    </w:p>
    <w:p w14:paraId="29A2AA96" w14:textId="039056DF" w:rsidR="007B61B3" w:rsidRPr="0038341F" w:rsidRDefault="0038341F" w:rsidP="001D3A43">
      <w:pPr>
        <w:pStyle w:val="Heading1"/>
        <w:numPr>
          <w:ilvl w:val="0"/>
          <w:numId w:val="8"/>
        </w:numPr>
        <w:rPr>
          <w:caps/>
          <w:color w:val="000000" w:themeColor="text1"/>
          <w:lang w:val="de-DE"/>
        </w:rPr>
      </w:pPr>
      <w:r>
        <w:rPr>
          <w:rFonts w:eastAsia="Tahoma"/>
          <w:caps/>
          <w:color w:val="000000"/>
          <w:lang w:val="de-DE"/>
        </w:rPr>
        <w:t>AUSSCHLUSS VON GARANTIEN. Die TESTVERSION wird als „wie besehen“ lizenziert.  Sie tragen das mit der Verwendung verbundene Risiko. Microsoft gewährt keine ausdrücklichen Gewährleistungen oder Garantien. In dem nach Ihrem örtlich anwendbaren Recht zulässigen Umfang schlieSSt Microsoft konkludente Garantien der Handelsüblichkeit, Eignung für einen bestimmten Zweck und Nichtverletzung von Rechten Dritter aus.</w:t>
      </w:r>
    </w:p>
    <w:p w14:paraId="60771069" w14:textId="77777777" w:rsidR="00126816" w:rsidRPr="0038341F" w:rsidRDefault="0038341F" w:rsidP="002E2EB2">
      <w:pPr>
        <w:pStyle w:val="Body1"/>
        <w:ind w:left="714"/>
        <w:rPr>
          <w:b/>
          <w:bCs/>
          <w:caps/>
          <w:color w:val="000000" w:themeColor="text1"/>
          <w:lang w:val="de-DE"/>
        </w:rPr>
      </w:pPr>
      <w:r>
        <w:rPr>
          <w:rFonts w:eastAsia="Tahoma"/>
          <w:b/>
          <w:bCs/>
          <w:caps/>
          <w:color w:val="000000"/>
          <w:lang w:val="de-DE"/>
        </w:rPr>
        <w:t>FÜR AUSTRALIEN – Nach dem Australian Consumer Law gelten gesetzliche Garantien, und es besteht an keiner Stelle in diesen Bestimmungen die Absicht, diese Rechte einzuschränken.</w:t>
      </w:r>
    </w:p>
    <w:p w14:paraId="52BD76C4" w14:textId="403254A1" w:rsidR="007B61B3" w:rsidRPr="0038341F" w:rsidRDefault="0038341F" w:rsidP="003D15FA">
      <w:pPr>
        <w:pStyle w:val="Heading1"/>
        <w:numPr>
          <w:ilvl w:val="0"/>
          <w:numId w:val="8"/>
        </w:numPr>
        <w:rPr>
          <w:b w:val="0"/>
          <w:bCs w:val="0"/>
          <w:color w:val="000000" w:themeColor="text1"/>
          <w:lang w:val="de-DE"/>
        </w:rPr>
      </w:pPr>
      <w:r>
        <w:rPr>
          <w:rFonts w:eastAsia="Tahoma"/>
          <w:color w:val="000000"/>
          <w:lang w:val="de-DE"/>
        </w:rPr>
        <w:t>SUPPORT</w:t>
      </w:r>
      <w:r>
        <w:rPr>
          <w:rFonts w:eastAsia="Tahoma"/>
          <w:b w:val="0"/>
          <w:bCs w:val="0"/>
          <w:color w:val="000000"/>
          <w:lang w:val="de-DE"/>
        </w:rPr>
        <w:t>. Da wir die Testversion „wie besehen“ zur Verfügung stellen, stellen wir möglicherweise keine Supportleistungen dafür bereit.</w:t>
      </w:r>
    </w:p>
    <w:p w14:paraId="49822940" w14:textId="5C2BD176" w:rsidR="007B61B3" w:rsidRPr="0038341F" w:rsidRDefault="0038341F" w:rsidP="003D15FA">
      <w:pPr>
        <w:pStyle w:val="Heading1"/>
        <w:numPr>
          <w:ilvl w:val="0"/>
          <w:numId w:val="8"/>
        </w:numPr>
        <w:rPr>
          <w:b w:val="0"/>
          <w:bCs w:val="0"/>
          <w:color w:val="000000" w:themeColor="text1"/>
          <w:lang w:val="de-DE"/>
        </w:rPr>
      </w:pPr>
      <w:r>
        <w:rPr>
          <w:rFonts w:eastAsia="Tahoma"/>
          <w:caps/>
          <w:color w:val="000000"/>
          <w:lang w:val="de-DE"/>
        </w:rPr>
        <w:t>Schadensbeschränkungen. Sie können von Microsoft und deren Lieferanten nur einen Ersatz für direkte Schäden bis zu einem Betrag von 5,00 US-Dollar erhalten. Sie können keinen Ersatz für andere Schäden erhalten, einschlieSSlich Folgeschäden, Schäden aus entgangenem Gewinn, spezielle, indirekte oder zufällige Schäden.</w:t>
      </w:r>
    </w:p>
    <w:p w14:paraId="2175533E" w14:textId="77777777" w:rsidR="007B61B3" w:rsidRPr="0038341F" w:rsidRDefault="0038341F" w:rsidP="00F125D4">
      <w:pPr>
        <w:pStyle w:val="Body1"/>
        <w:ind w:left="714"/>
        <w:rPr>
          <w:color w:val="000000" w:themeColor="text1"/>
          <w:lang w:val="de-DE"/>
        </w:rPr>
      </w:pPr>
      <w:r>
        <w:rPr>
          <w:rFonts w:eastAsia="Tahoma"/>
          <w:color w:val="000000"/>
          <w:lang w:val="de-DE"/>
        </w:rPr>
        <w:t>Diese Beschränkung gilt für (a) alles im Zusammenhang mit der Testversion, Diensten, Inhalt (einschließlich Code) von Internetsites oder Programmen von Drittanbietern und (b) für Ansprüche aus Vertragsverletzung, Verletzung von Gewährleistung, Garantie oder Bedingungen, verschuldensunabhängiger Haftung, Fahrlässigkeit oder anderer unerlaubter Handlung, soweit gesetzlich zulässig.</w:t>
      </w:r>
    </w:p>
    <w:p w14:paraId="2D0746F1" w14:textId="697DEA58" w:rsidR="00B2530B" w:rsidRPr="0038341F" w:rsidRDefault="0038341F" w:rsidP="00334264">
      <w:pPr>
        <w:ind w:left="720" w:hanging="6"/>
        <w:rPr>
          <w:color w:val="000000" w:themeColor="text1"/>
          <w:lang w:val="de-DE"/>
        </w:rPr>
      </w:pPr>
      <w:r>
        <w:rPr>
          <w:rFonts w:eastAsia="Tahoma"/>
          <w:color w:val="000000"/>
          <w:lang w:val="de-DE"/>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w:t>
      </w:r>
      <w:r w:rsidR="001C0FAF" w:rsidDel="001C0FAF">
        <w:rPr>
          <w:rFonts w:eastAsia="Tahoma"/>
          <w:color w:val="000000"/>
          <w:lang w:val="de-DE"/>
        </w:rPr>
        <w:t xml:space="preserve"> </w:t>
      </w:r>
    </w:p>
    <w:p w14:paraId="30A52511" w14:textId="13398891" w:rsidR="008040E7" w:rsidRPr="0038341F" w:rsidRDefault="0038341F" w:rsidP="008040E7">
      <w:pPr>
        <w:pStyle w:val="Preamble"/>
        <w:tabs>
          <w:tab w:val="left" w:leader="underscore" w:pos="10065"/>
        </w:tabs>
        <w:spacing w:before="0" w:after="0"/>
        <w:ind w:left="-142"/>
        <w:rPr>
          <w:b w:val="0"/>
          <w:lang w:val="de-DE"/>
        </w:rPr>
      </w:pPr>
      <w:r w:rsidRPr="0038341F">
        <w:rPr>
          <w:rFonts w:eastAsia="SimSun"/>
          <w:color w:val="000000" w:themeColor="text1"/>
          <w:lang w:val="de-DE"/>
        </w:rPr>
        <w:br w:type="page"/>
      </w:r>
      <w:r w:rsidR="008040E7" w:rsidRPr="0038341F">
        <w:rPr>
          <w:b w:val="0"/>
          <w:lang w:val="de-DE"/>
        </w:rPr>
        <w:lastRenderedPageBreak/>
        <w:tab/>
      </w:r>
      <w:r w:rsidR="008040E7">
        <w:rPr>
          <w:b w:val="0"/>
          <w:lang w:val="de-DE"/>
        </w:rPr>
        <w:softHyphen/>
      </w:r>
      <w:r w:rsidR="008040E7">
        <w:rPr>
          <w:b w:val="0"/>
          <w:lang w:val="de-DE"/>
        </w:rPr>
        <w:softHyphen/>
      </w:r>
    </w:p>
    <w:p w14:paraId="2142E075" w14:textId="325081F5" w:rsidR="005A640D" w:rsidRPr="0038341F" w:rsidRDefault="0038341F" w:rsidP="00871430">
      <w:pPr>
        <w:rPr>
          <w:b/>
          <w:lang w:val="de-DE"/>
        </w:rPr>
      </w:pPr>
      <w:r w:rsidRPr="00871430">
        <w:rPr>
          <w:rFonts w:eastAsia="Tahoma"/>
          <w:b/>
          <w:bCs/>
          <w:lang w:val="de-DE"/>
        </w:rPr>
        <w:t>BESTIMMUNGEN FÜR DIE LIZENZ ZUR VOLLSTÄNDIGEN VERWENDUNG DER SOFTWARE:</w:t>
      </w:r>
      <w:r>
        <w:rPr>
          <w:rFonts w:eastAsia="Tahoma"/>
          <w:lang w:val="de-DE"/>
        </w:rPr>
        <w:t xml:space="preserve"> Wenn Sie eine gültige Lizenz erwerben und entweder einen Product Key eingeben oder sich in die Software einloggen, gelten die nachstehenden Bestimmungen. Sie sind nicht berechtigt, Ihre Product Keys oder Zugangsdaten an Dritte weiterzugeben. </w:t>
      </w:r>
    </w:p>
    <w:p w14:paraId="1DA99DDB" w14:textId="77777777" w:rsidR="007B61B3" w:rsidRPr="00A16BD5" w:rsidRDefault="0038341F" w:rsidP="00EF506A">
      <w:pPr>
        <w:pStyle w:val="Heading1"/>
      </w:pPr>
      <w:r>
        <w:rPr>
          <w:rFonts w:eastAsia="Tahoma"/>
          <w:lang w:val="de-DE"/>
        </w:rPr>
        <w:t>ÜBERBLICK</w:t>
      </w:r>
      <w:r>
        <w:rPr>
          <w:rFonts w:eastAsia="Tahoma"/>
          <w:b w:val="0"/>
          <w:bCs w:val="0"/>
          <w:lang w:val="de-DE"/>
        </w:rPr>
        <w:t>.</w:t>
      </w:r>
    </w:p>
    <w:p w14:paraId="0F199AA0" w14:textId="180F94BB" w:rsidR="007B61B3" w:rsidRPr="0038341F" w:rsidRDefault="0038341F" w:rsidP="001142D7">
      <w:pPr>
        <w:pStyle w:val="Heading2"/>
        <w:widowControl w:val="0"/>
        <w:tabs>
          <w:tab w:val="clear" w:pos="1533"/>
          <w:tab w:val="num" w:pos="720"/>
        </w:tabs>
        <w:ind w:left="720" w:hanging="360"/>
        <w:rPr>
          <w:rFonts w:eastAsia="SimSun"/>
          <w:b w:val="0"/>
          <w:lang w:val="de-DE"/>
        </w:rPr>
      </w:pPr>
      <w:r>
        <w:rPr>
          <w:rFonts w:eastAsia="Tahoma"/>
          <w:lang w:val="de-DE"/>
        </w:rPr>
        <w:t xml:space="preserve">Software. </w:t>
      </w:r>
      <w:r>
        <w:rPr>
          <w:rFonts w:eastAsia="Tahoma"/>
          <w:b w:val="0"/>
          <w:bCs w:val="0"/>
          <w:lang w:val="de-DE"/>
        </w:rPr>
        <w:t>Die Software umfasst Entwicklungstools, Anwendungen und Dokumentation.</w:t>
      </w:r>
    </w:p>
    <w:p w14:paraId="644DAB36" w14:textId="77777777" w:rsidR="007B61B3" w:rsidRPr="0038341F" w:rsidRDefault="0038341F" w:rsidP="001142D7">
      <w:pPr>
        <w:pStyle w:val="Heading2"/>
        <w:widowControl w:val="0"/>
        <w:ind w:left="720" w:hanging="360"/>
        <w:rPr>
          <w:rFonts w:eastAsia="SimSun"/>
          <w:b w:val="0"/>
          <w:lang w:val="de-DE"/>
        </w:rPr>
      </w:pPr>
      <w:r>
        <w:rPr>
          <w:rFonts w:eastAsia="Tahoma"/>
          <w:lang w:val="de-DE"/>
        </w:rPr>
        <w:t xml:space="preserve">Lizenzmodell. </w:t>
      </w:r>
      <w:r>
        <w:rPr>
          <w:rFonts w:eastAsia="Tahoma"/>
          <w:b w:val="0"/>
          <w:bCs w:val="0"/>
          <w:lang w:val="de-DE"/>
        </w:rPr>
        <w:t>Die Software wird auf Nutzerbasis lizenziert.</w:t>
      </w:r>
    </w:p>
    <w:p w14:paraId="12AE3493" w14:textId="77777777" w:rsidR="007B61B3" w:rsidRPr="00A16BD5" w:rsidRDefault="0038341F" w:rsidP="007B61B3">
      <w:pPr>
        <w:pStyle w:val="Heading1"/>
        <w:widowControl w:val="0"/>
        <w:ind w:left="360" w:hanging="360"/>
        <w:rPr>
          <w:rFonts w:eastAsia="SimSun"/>
        </w:rPr>
      </w:pPr>
      <w:r>
        <w:rPr>
          <w:rFonts w:eastAsia="Tahoma"/>
          <w:lang w:val="de-DE"/>
        </w:rPr>
        <w:t>NUTZUNGSRECHTE.</w:t>
      </w:r>
    </w:p>
    <w:p w14:paraId="4023ABD7" w14:textId="77777777" w:rsidR="00C8775E" w:rsidRPr="0038341F" w:rsidRDefault="0038341F" w:rsidP="001142D7">
      <w:pPr>
        <w:pStyle w:val="Heading2"/>
        <w:widowControl w:val="0"/>
        <w:tabs>
          <w:tab w:val="clear" w:pos="1533"/>
          <w:tab w:val="num" w:pos="720"/>
        </w:tabs>
        <w:ind w:left="720" w:hanging="360"/>
        <w:rPr>
          <w:rFonts w:eastAsia="SimSun"/>
          <w:b w:val="0"/>
          <w:bCs w:val="0"/>
          <w:lang w:val="de-DE"/>
        </w:rPr>
      </w:pPr>
      <w:r>
        <w:rPr>
          <w:rFonts w:eastAsia="Tahoma"/>
          <w:lang w:val="de-DE"/>
        </w:rPr>
        <w:t xml:space="preserve">Allgemein.  </w:t>
      </w:r>
      <w:r>
        <w:rPr>
          <w:rFonts w:eastAsia="Tahoma"/>
          <w:b w:val="0"/>
          <w:bCs w:val="0"/>
          <w:lang w:val="de-DE"/>
        </w:rPr>
        <w:t>Ein Nutzer ist berechtigt, Kopien der Software auf Ihren Geräten zu nutzen, um Anwendungen zu entwickeln und zu testen. Darunter fällt unter anderem die Nutzung von Kopien der Software auf Ihren eigenen internen Servern, die für die Nutzung durch Sie bestimmt sind. Sie sind jedoch nicht berechtigt, die Komponenten der Software zu trennen (sofern in dieser Vereinbarung nicht anders angegeben) und diese in einer Produktionsumgebung oder auf Drittgeräten oder für andere Zwecke als die Entwicklung und Prüfung Ihrer Anwendungen auszuführen. Das Ausführen der Software in Microsoft Azure kann separate Online-Nutzungsgebühren verursachen.</w:t>
      </w:r>
    </w:p>
    <w:p w14:paraId="3384390A" w14:textId="77777777" w:rsidR="00F774A9" w:rsidRPr="0038341F" w:rsidRDefault="0038341F" w:rsidP="001142D7">
      <w:pPr>
        <w:pStyle w:val="Heading2"/>
        <w:widowControl w:val="0"/>
        <w:tabs>
          <w:tab w:val="clear" w:pos="1533"/>
          <w:tab w:val="num" w:pos="720"/>
        </w:tabs>
        <w:ind w:left="720" w:hanging="360"/>
        <w:rPr>
          <w:rFonts w:eastAsia="SimSun"/>
          <w:b w:val="0"/>
          <w:bCs w:val="0"/>
          <w:lang w:val="de-DE"/>
        </w:rPr>
      </w:pPr>
      <w:r>
        <w:rPr>
          <w:rFonts w:eastAsia="Tahoma"/>
          <w:lang w:val="de-DE"/>
        </w:rPr>
        <w:t>Workloads.</w:t>
      </w:r>
      <w:r>
        <w:rPr>
          <w:rFonts w:eastAsia="Tahoma"/>
          <w:b w:val="0"/>
          <w:bCs w:val="0"/>
          <w:lang w:val="de-DE"/>
        </w:rPr>
        <w:t xml:space="preserve"> Diese Lizenzbestimmungen gelten für Ihre Verwendung der Workloads, die Ihnen in der Software zur Verfügung gestellt werden, ausgenommen für den Fall, dass eine Workload oder eine Workload-Komponente mit anderen Lizenzbestimmungen und Support-Richtlinien geliefert wird.</w:t>
      </w:r>
    </w:p>
    <w:p w14:paraId="728CF79E" w14:textId="28C97CE3" w:rsidR="00B02582" w:rsidRPr="0038341F" w:rsidRDefault="0038341F" w:rsidP="001142D7">
      <w:pPr>
        <w:pStyle w:val="Heading2"/>
        <w:widowControl w:val="0"/>
        <w:tabs>
          <w:tab w:val="clear" w:pos="1533"/>
          <w:tab w:val="num" w:pos="720"/>
        </w:tabs>
        <w:ind w:left="720" w:hanging="360"/>
        <w:rPr>
          <w:rFonts w:eastAsia="SimSun"/>
          <w:b w:val="0"/>
          <w:bCs w:val="0"/>
          <w:lang w:val="de-DE"/>
        </w:rPr>
      </w:pPr>
      <w:r>
        <w:rPr>
          <w:rFonts w:eastAsia="Tahoma"/>
          <w:lang w:val="de-DE"/>
        </w:rPr>
        <w:t xml:space="preserve">Sicherungskopie. </w:t>
      </w:r>
      <w:r>
        <w:rPr>
          <w:rFonts w:eastAsia="Tahoma"/>
          <w:b w:val="0"/>
          <w:bCs w:val="0"/>
          <w:lang w:val="de-DE"/>
        </w:rPr>
        <w:t>Sie sind berechtigt, eine Sicherungskopie der Softwaremedien zur erneuten Installation der Software anzufertigen.</w:t>
      </w:r>
    </w:p>
    <w:p w14:paraId="25045113" w14:textId="54C8D7B9" w:rsidR="001E030A" w:rsidRPr="0038341F" w:rsidRDefault="0038341F" w:rsidP="001142D7">
      <w:pPr>
        <w:pStyle w:val="Heading2"/>
        <w:widowControl w:val="0"/>
        <w:tabs>
          <w:tab w:val="clear" w:pos="1533"/>
          <w:tab w:val="num" w:pos="720"/>
        </w:tabs>
        <w:ind w:left="720" w:hanging="360"/>
        <w:rPr>
          <w:rFonts w:eastAsia="SimSun"/>
          <w:b w:val="0"/>
          <w:bCs w:val="0"/>
          <w:lang w:val="de-DE"/>
        </w:rPr>
      </w:pPr>
      <w:r>
        <w:rPr>
          <w:rFonts w:eastAsia="Tahoma"/>
          <w:lang w:val="de-DE"/>
        </w:rPr>
        <w:t xml:space="preserve">Onlinedienste in der Software. </w:t>
      </w:r>
      <w:r>
        <w:rPr>
          <w:rFonts w:eastAsia="Tahoma"/>
          <w:b w:val="0"/>
          <w:bCs w:val="0"/>
          <w:lang w:val="de-DE"/>
        </w:rPr>
        <w:t>Einige Funktionen der Software nutzen Onlinedienste, um Ihnen Informationen über Aktualisierungen der Software oder Erweiterungen bereitzustellen oder Ihnen zu ermöglichen, Inhalte abzurufen, mit anderen zusammenzuarbeiten oder Ihre Entwicklungserfahrung anderweitig zu ergänzen. Im Rahmen dieser Vereinbarung umfasst der Begriff „Software“ diese Onlinedienst–Features.</w:t>
      </w:r>
    </w:p>
    <w:p w14:paraId="31A7164D" w14:textId="77777777" w:rsidR="00BF2D58" w:rsidRPr="0038341F" w:rsidRDefault="0038341F" w:rsidP="001142D7">
      <w:pPr>
        <w:pStyle w:val="Heading2"/>
        <w:widowControl w:val="0"/>
        <w:tabs>
          <w:tab w:val="clear" w:pos="1533"/>
          <w:tab w:val="num" w:pos="720"/>
        </w:tabs>
        <w:ind w:left="720" w:hanging="360"/>
        <w:rPr>
          <w:rFonts w:eastAsia="SimSun"/>
          <w:b w:val="0"/>
          <w:bCs w:val="0"/>
          <w:lang w:val="de-DE"/>
        </w:rPr>
      </w:pPr>
      <w:r>
        <w:rPr>
          <w:rFonts w:eastAsia="Tahoma"/>
          <w:lang w:val="de-DE"/>
        </w:rPr>
        <w:t>Verwendung zur Demonstration</w:t>
      </w:r>
      <w:r>
        <w:rPr>
          <w:rFonts w:eastAsia="Tahoma"/>
          <w:b w:val="0"/>
          <w:bCs w:val="0"/>
          <w:lang w:val="de-DE"/>
        </w:rPr>
        <w:t>. Die vorstehend genehmigten Nutzungsrechte enthalten die Nutzung der Software zur Demonstration Ihrer Anwendungen.</w:t>
      </w:r>
    </w:p>
    <w:p w14:paraId="720F5DFD" w14:textId="77777777" w:rsidR="007B61B3" w:rsidRPr="00A16BD5" w:rsidRDefault="0038341F" w:rsidP="007B61B3">
      <w:pPr>
        <w:pStyle w:val="Heading1"/>
        <w:keepNext/>
        <w:tabs>
          <w:tab w:val="num" w:pos="540"/>
        </w:tabs>
        <w:ind w:left="360" w:hanging="360"/>
      </w:pPr>
      <w:r>
        <w:rPr>
          <w:rFonts w:eastAsia="Tahoma"/>
          <w:lang w:val="de-DE"/>
        </w:rPr>
        <w:t xml:space="preserve">BESTIMMUNGEN FÜR SPEZIFISCHE KOMPONENTEN. </w:t>
      </w:r>
    </w:p>
    <w:p w14:paraId="5295A0D4" w14:textId="77777777" w:rsidR="00F02617" w:rsidRPr="0038341F" w:rsidRDefault="0038341F" w:rsidP="00FF769F">
      <w:pPr>
        <w:pStyle w:val="Heading2"/>
        <w:widowControl w:val="0"/>
        <w:tabs>
          <w:tab w:val="clear" w:pos="1533"/>
          <w:tab w:val="num" w:pos="720"/>
          <w:tab w:val="num" w:pos="1080"/>
        </w:tabs>
        <w:ind w:left="720" w:hanging="360"/>
        <w:rPr>
          <w:rFonts w:eastAsia="SimSun"/>
          <w:b w:val="0"/>
          <w:bCs w:val="0"/>
          <w:lang w:val="de-DE"/>
        </w:rPr>
      </w:pPr>
      <w:r>
        <w:rPr>
          <w:rFonts w:eastAsia="Tahoma"/>
          <w:lang w:val="de-DE"/>
        </w:rPr>
        <w:t>Dienstprogramme.</w:t>
      </w:r>
      <w:r>
        <w:rPr>
          <w:rFonts w:eastAsia="Tahoma"/>
          <w:b w:val="0"/>
          <w:bCs w:val="0"/>
          <w:lang w:val="de-DE"/>
        </w:rPr>
        <w:t xml:space="preserve"> Die Software enthält einige Artikel in der Liste der Dienstprogramme unter </w:t>
      </w:r>
      <w:hyperlink r:id="rId7" w:history="1">
        <w:r>
          <w:rPr>
            <w:rFonts w:eastAsia="Tahoma"/>
            <w:b w:val="0"/>
            <w:bCs w:val="0"/>
            <w:color w:val="0000FF"/>
            <w:u w:val="single"/>
            <w:lang w:val="de-DE"/>
          </w:rPr>
          <w:t>https://aka.ms/vs/16/utilities</w:t>
        </w:r>
      </w:hyperlink>
      <w:r>
        <w:rPr>
          <w:rFonts w:eastAsia="Tahoma" w:cs="Times New Roman"/>
          <w:b w:val="0"/>
          <w:bCs w:val="0"/>
          <w:color w:val="0000FF"/>
          <w:lang w:val="de-DE"/>
        </w:rPr>
        <w:t xml:space="preserve">. </w:t>
      </w:r>
      <w:r>
        <w:rPr>
          <w:rFonts w:eastAsia="Tahoma"/>
          <w:b w:val="0"/>
          <w:bCs w:val="0"/>
          <w:lang w:val="de-DE"/>
        </w:rPr>
        <w:t>Sie sind berechtigt, diese Elemente auf Ihre Geräte zu kopieren und zu installieren, um Ihre mit der Software entwickelten Anwendungen und Datenbanken zu debuggen und bereitzustellen. Die Dienstprogramme sind für die vorübergehende Verwendung vorgesehen.   Microsoft ist möglicherweise nicht in der Lage, Dienstprogramme separat vom Rest der Software zu patchen oder zu aktualisieren.  Einige Dienstprogramme können es naturgemäß anderen ermöglichen, auf die Geräte zuzugreifen, auf denen die Dienstprogramme installiert sind. Nach der Fehlerbereinigung und Bereitstellung Ihrer Anwendungen und Datenbanken sollten Sie alle Dienstprogramme löschen, die Sie installiert haben. Microsoft ist nicht verantwortlich für die Verwendung oder den Zugriff Dritter auf Geräte, Anwendungen oder Datenbanken auf Geräten, auf denen Dienstprogramme installiert wurden.</w:t>
      </w:r>
    </w:p>
    <w:p w14:paraId="5147D0D6" w14:textId="3808A415" w:rsidR="00FF769F" w:rsidRPr="0038341F" w:rsidRDefault="0038341F" w:rsidP="00E31ADD">
      <w:pPr>
        <w:pStyle w:val="Heading2"/>
        <w:widowControl w:val="0"/>
        <w:tabs>
          <w:tab w:val="clear" w:pos="1533"/>
          <w:tab w:val="num" w:pos="720"/>
          <w:tab w:val="num" w:pos="1080"/>
          <w:tab w:val="left" w:pos="8100"/>
        </w:tabs>
        <w:ind w:left="720" w:hanging="360"/>
        <w:rPr>
          <w:rFonts w:eastAsia="SimSun"/>
          <w:b w:val="0"/>
          <w:lang w:val="de-DE"/>
        </w:rPr>
      </w:pPr>
      <w:r w:rsidRPr="0038341F">
        <w:rPr>
          <w:rFonts w:eastAsia="Tahoma"/>
        </w:rPr>
        <w:t xml:space="preserve">Build-Geräte und Visual Studio Build Tools. </w:t>
      </w:r>
      <w:r>
        <w:rPr>
          <w:rFonts w:eastAsia="Tahoma"/>
          <w:b w:val="0"/>
          <w:bCs w:val="0"/>
          <w:lang w:val="de-DE"/>
        </w:rPr>
        <w:t xml:space="preserve">Sie können Dateien von der Software oder von den Visual Studio Build Tools auf Ihre Build-Geräte kopieren und installieren, darunter auch auf physische Geräte und virtuelle Maschinen oder Container auf diesen Maschinen, ob auf lokale oder Remote-Maschinen, die Ihnen gehören, in Azure für Sie gehostet werden oder ausschließlich Ihnen zur Verwendung stehen (hier zusammenfasend „Build-Geräte“).  Sie und andere Personen in Ihrem Unternehmen sind ausschließlich berechtigt, diese Dateien auf Ihren Build-Geräten zum Kompilieren, Erstellen und Überprüfen von Anwendungen zu verwenden, die unter Verwendung der Software entwickelt wurden, oder Qualitäts- oder Leistungstests in Bezug auf diese Anwendungen als Teil des Build-Prozesses auszuführen.  </w:t>
      </w:r>
    </w:p>
    <w:p w14:paraId="4B238A31" w14:textId="77777777" w:rsidR="00431D2B" w:rsidRPr="0038341F" w:rsidRDefault="0038341F" w:rsidP="00FF769F">
      <w:pPr>
        <w:pStyle w:val="Heading2"/>
        <w:widowControl w:val="0"/>
        <w:tabs>
          <w:tab w:val="clear" w:pos="1533"/>
          <w:tab w:val="num" w:pos="720"/>
          <w:tab w:val="num" w:pos="1080"/>
        </w:tabs>
        <w:ind w:left="720" w:hanging="360"/>
        <w:rPr>
          <w:rFonts w:eastAsia="SimSun"/>
          <w:b w:val="0"/>
          <w:color w:val="000000" w:themeColor="text1"/>
          <w:lang w:val="de-DE"/>
        </w:rPr>
      </w:pPr>
      <w:r>
        <w:rPr>
          <w:rFonts w:eastAsia="Tahoma"/>
          <w:color w:val="000000"/>
          <w:lang w:val="de-DE"/>
        </w:rPr>
        <w:t xml:space="preserve">Schriftartkomponenten. </w:t>
      </w:r>
      <w:r>
        <w:rPr>
          <w:rFonts w:eastAsia="Tahoma"/>
          <w:b w:val="0"/>
          <w:bCs w:val="0"/>
          <w:color w:val="000000"/>
          <w:lang w:val="de-DE"/>
        </w:rPr>
        <w:t>Bei laufender Software sind Sie berechtigt, mit deren Schriftarten Inhalte anzuzeigen und zu drucken. Sie dürfen Schriftarten: (i) nur wie in den Einbettungsbeschränkungen in den Schriftarten gestattet in Inhalte einbetten und (ii) diese vorübergehend auf einen Drucker oder ein anderes Ausgabegerät herunterladen, um Inhalte zu drucken.</w:t>
      </w:r>
    </w:p>
    <w:p w14:paraId="2D795B95" w14:textId="77777777" w:rsidR="00C55735" w:rsidRPr="00F75C3A" w:rsidRDefault="0038341F" w:rsidP="003A0255">
      <w:pPr>
        <w:pStyle w:val="Heading2"/>
        <w:widowControl w:val="0"/>
        <w:tabs>
          <w:tab w:val="clear" w:pos="1533"/>
          <w:tab w:val="num" w:pos="720"/>
          <w:tab w:val="num" w:pos="1080"/>
        </w:tabs>
        <w:ind w:left="720" w:hanging="360"/>
        <w:rPr>
          <w:rFonts w:eastAsia="SimSun"/>
          <w:b w:val="0"/>
          <w:bCs w:val="0"/>
        </w:rPr>
      </w:pPr>
      <w:r>
        <w:rPr>
          <w:rFonts w:eastAsia="Tahoma"/>
          <w:lang w:val="de-DE"/>
        </w:rPr>
        <w:lastRenderedPageBreak/>
        <w:t>Lizenzen für andere Komponenten</w:t>
      </w:r>
      <w:r>
        <w:rPr>
          <w:rFonts w:eastAsia="Tahoma"/>
          <w:b w:val="0"/>
          <w:bCs w:val="0"/>
          <w:lang w:val="de-DE"/>
        </w:rPr>
        <w:t>.</w:t>
      </w:r>
    </w:p>
    <w:p w14:paraId="23BB3E8B" w14:textId="77777777" w:rsidR="00C55735" w:rsidRPr="0038341F" w:rsidRDefault="0038341F" w:rsidP="00BD68D7">
      <w:pPr>
        <w:pStyle w:val="Heading3"/>
        <w:numPr>
          <w:ilvl w:val="2"/>
          <w:numId w:val="13"/>
        </w:numPr>
        <w:rPr>
          <w:lang w:val="de-DE"/>
        </w:rPr>
      </w:pPr>
      <w:r w:rsidRPr="00E52B73">
        <w:rPr>
          <w:rFonts w:eastAsia="Tahoma"/>
          <w:b/>
          <w:bCs/>
        </w:rPr>
        <w:t>Microsoft-Plattformen</w:t>
      </w:r>
      <w:r w:rsidRPr="00E52B73">
        <w:rPr>
          <w:rFonts w:eastAsia="Tahoma"/>
        </w:rPr>
        <w:t xml:space="preserve">. Die Software kann Komponenten aus Microsoft Windows, Microsoft Windows Server, Microsoft SQL Server, Microsoft Exchange, Microsoft Office oder Microsoft Sharepoint enthalten. </w:t>
      </w:r>
      <w:r>
        <w:rPr>
          <w:rFonts w:eastAsia="Tahoma"/>
          <w:lang w:val="de-DE"/>
        </w:rPr>
        <w:t>Diese Komponenten werden durch gesonderte Verträge und deren eigenen Produktsupportrichtlinien geregelt, wie im</w:t>
      </w:r>
      <w:r>
        <w:rPr>
          <w:rFonts w:eastAsia="Tahoma"/>
          <w:color w:val="002060"/>
          <w:lang w:val="de-DE"/>
        </w:rPr>
        <w:t xml:space="preserve"> </w:t>
      </w:r>
      <w:r>
        <w:rPr>
          <w:rFonts w:eastAsia="Tahoma"/>
          <w:lang w:val="de-DE"/>
        </w:rPr>
        <w:t>die Software begleitenden Microsoft-„Lizenzen“-Ordner beschrieben, mit der Ausnahme, wenn separate Lizenzbestimmungen für solche Komponenten auch in der zugehörigen Installation direkt enthalten sind, welche sodann ausschlaggebend sind.</w:t>
      </w:r>
    </w:p>
    <w:p w14:paraId="615B250C" w14:textId="77777777" w:rsidR="00693D60" w:rsidRPr="0038341F" w:rsidRDefault="0038341F" w:rsidP="00F426C4">
      <w:pPr>
        <w:pStyle w:val="Heading3"/>
        <w:numPr>
          <w:ilvl w:val="2"/>
          <w:numId w:val="13"/>
        </w:numPr>
        <w:rPr>
          <w:lang w:val="de-DE"/>
        </w:rPr>
      </w:pPr>
      <w:r>
        <w:rPr>
          <w:rFonts w:eastAsia="Tahoma"/>
          <w:b/>
          <w:bCs/>
          <w:lang w:val="de-DE"/>
        </w:rPr>
        <w:t>Komponenten von Dritten</w:t>
      </w:r>
      <w:r>
        <w:rPr>
          <w:rFonts w:eastAsia="Tahoma"/>
          <w:lang w:val="de-DE"/>
        </w:rPr>
        <w:t xml:space="preserve">. Diese Software kann Komponenten Dritter enthalten, die gesonderten rechtlichen Anmerkungen oder anderen Verträgen unterliegen, wie in den der Software beiliegenden ThirdPartyNotices-Dateien ggf. beschrieben ist. </w:t>
      </w:r>
    </w:p>
    <w:p w14:paraId="00A9334D" w14:textId="77777777" w:rsidR="00F52467" w:rsidRPr="00871430" w:rsidRDefault="0038341F" w:rsidP="00F52467">
      <w:pPr>
        <w:pStyle w:val="Heading2"/>
        <w:widowControl w:val="0"/>
        <w:tabs>
          <w:tab w:val="clear" w:pos="1533"/>
          <w:tab w:val="num" w:pos="720"/>
          <w:tab w:val="num" w:pos="1080"/>
        </w:tabs>
        <w:ind w:left="720" w:hanging="360"/>
        <w:rPr>
          <w:b w:val="0"/>
          <w:bCs w:val="0"/>
          <w:lang w:val="de-DE"/>
        </w:rPr>
      </w:pPr>
      <w:r>
        <w:rPr>
          <w:rFonts w:eastAsia="Tahoma"/>
          <w:lang w:val="de-DE"/>
        </w:rPr>
        <w:t xml:space="preserve">Paket-Manager. </w:t>
      </w:r>
      <w:r>
        <w:rPr>
          <w:rFonts w:eastAsia="Tahoma"/>
          <w:b w:val="0"/>
          <w:bCs w:val="0"/>
          <w:lang w:val="de-DE"/>
        </w:rPr>
        <w:t>Die Software enthält Paket-Manager wie NuGet, die es Ihnen erlauben, andere Softwarepakete von Microsoft und Dritten zur Nutzung mit Ihren Anwendungen herunterzuladen. Diese Pakete unterliegen ihren eigenen Lizenzen und nicht diesen Lizenzbestimmungen. Microsoft übernimmt weder Vertrieb, Lizenzierung oder Gewährleistungen für Drittanbieterpakete.</w:t>
      </w:r>
    </w:p>
    <w:p w14:paraId="7621C0B3" w14:textId="77777777" w:rsidR="00431D2B" w:rsidRPr="0038341F" w:rsidRDefault="0038341F" w:rsidP="009A3A66">
      <w:pPr>
        <w:pStyle w:val="Heading1"/>
        <w:widowControl w:val="0"/>
        <w:ind w:left="360" w:hanging="360"/>
        <w:rPr>
          <w:rFonts w:eastAsia="SimSun"/>
          <w:b w:val="0"/>
          <w:bCs w:val="0"/>
          <w:lang w:val="de-DE"/>
        </w:rPr>
      </w:pPr>
      <w:r>
        <w:rPr>
          <w:rFonts w:eastAsia="Tahoma"/>
          <w:lang w:val="de-DE"/>
        </w:rPr>
        <w:t xml:space="preserve">VERTREIBBARER CODE. </w:t>
      </w:r>
      <w:r>
        <w:rPr>
          <w:rFonts w:eastAsia="Tahoma"/>
          <w:b w:val="0"/>
          <w:bCs w:val="0"/>
          <w:lang w:val="de-DE"/>
        </w:rPr>
        <w:t>Die Software enthält Code, den Sie wie in diesem Abschnitt beschrieben in von Ihnen entwickelten Anwendungen vertreiben dürfen. Für die Zwecke dieses Abschnitts 4 bedeutet der Begriff „Vertrieb“ auch die Bereitstellung Ihrer Anwendungen für den Zugriff durch Dritte über das Internet.</w:t>
      </w:r>
    </w:p>
    <w:p w14:paraId="07EA87EC" w14:textId="3E8B853B" w:rsidR="00431D2B" w:rsidRPr="0038341F" w:rsidRDefault="0038341F" w:rsidP="004A47C4">
      <w:pPr>
        <w:pStyle w:val="Heading3Bold"/>
        <w:widowControl w:val="0"/>
        <w:numPr>
          <w:ilvl w:val="2"/>
          <w:numId w:val="7"/>
        </w:numPr>
        <w:tabs>
          <w:tab w:val="clear" w:pos="1077"/>
        </w:tabs>
        <w:ind w:left="720" w:hanging="360"/>
        <w:rPr>
          <w:rFonts w:eastAsia="SimSun"/>
          <w:b w:val="0"/>
          <w:lang w:val="de-DE"/>
        </w:rPr>
      </w:pPr>
      <w:r>
        <w:rPr>
          <w:rFonts w:eastAsia="Tahoma"/>
          <w:lang w:val="de-DE"/>
        </w:rPr>
        <w:t xml:space="preserve">Recht zur Nutzung und zum Vertrieb. </w:t>
      </w:r>
      <w:r>
        <w:rPr>
          <w:rFonts w:eastAsia="Tahoma"/>
          <w:b w:val="0"/>
          <w:bCs w:val="0"/>
          <w:lang w:val="de-DE"/>
        </w:rPr>
        <w:t>Bei dem nachfolgend aufgelisteten Code und den nachfolgend aufgelisteten Textdateien handelt es sich um „vertreibbaren Code“.</w:t>
      </w:r>
    </w:p>
    <w:p w14:paraId="4B6D0F2C" w14:textId="77777777" w:rsidR="00431D2B" w:rsidRPr="0038341F" w:rsidRDefault="0038341F" w:rsidP="00CD0D4C">
      <w:pPr>
        <w:pStyle w:val="Bullet4Underlined"/>
        <w:rPr>
          <w:lang w:val="de-DE"/>
        </w:rPr>
      </w:pPr>
      <w:r>
        <w:rPr>
          <w:rFonts w:eastAsia="Tahoma"/>
          <w:b/>
          <w:bCs/>
          <w:u w:val="none"/>
          <w:lang w:val="de-DE"/>
        </w:rPr>
        <w:t>Verteilerliste.</w:t>
      </w:r>
      <w:r>
        <w:rPr>
          <w:rFonts w:eastAsia="Tahoma"/>
          <w:u w:val="none"/>
          <w:lang w:val="de-DE"/>
        </w:rPr>
        <w:t xml:space="preserve"> Sie sind berechtigt, die Objektcodeform des in der Verteilerliste aufgelisteten Codes zu kopieren und zu vertreiben. Diese Liste finden Sie unter</w:t>
      </w:r>
      <w:r>
        <w:rPr>
          <w:rFonts w:eastAsia="Tahoma" w:cs="Times New Roman"/>
          <w:color w:val="0000FF"/>
          <w:u w:val="none"/>
          <w:lang w:val="de-DE"/>
        </w:rPr>
        <w:t xml:space="preserve"> </w:t>
      </w:r>
      <w:r>
        <w:rPr>
          <w:rFonts w:eastAsia="Tahoma" w:cs="Times New Roman"/>
          <w:color w:val="0000FF"/>
          <w:lang w:val="de-DE"/>
        </w:rPr>
        <w:t>https://aka.ms/vs/16/redistribution</w:t>
      </w:r>
      <w:r>
        <w:rPr>
          <w:rFonts w:eastAsia="Tahoma" w:cs="Times New Roman"/>
          <w:color w:val="0000FF"/>
          <w:u w:val="none"/>
          <w:lang w:val="de-DE"/>
        </w:rPr>
        <w:t>.</w:t>
      </w:r>
    </w:p>
    <w:p w14:paraId="31EBEBCB" w14:textId="77777777" w:rsidR="00431D2B" w:rsidRPr="0038341F" w:rsidRDefault="0038341F" w:rsidP="00D66028">
      <w:pPr>
        <w:pStyle w:val="Bullet4Underlined"/>
        <w:widowControl w:val="0"/>
        <w:ind w:left="1080" w:hanging="360"/>
        <w:rPr>
          <w:rFonts w:eastAsia="SimSun"/>
          <w:u w:val="none"/>
          <w:lang w:val="de-DE"/>
        </w:rPr>
      </w:pPr>
      <w:r>
        <w:rPr>
          <w:rFonts w:eastAsia="Tahoma"/>
          <w:b/>
          <w:bCs/>
          <w:u w:val="none"/>
          <w:lang w:val="de-DE"/>
        </w:rPr>
        <w:t>Beispielcode, Vorlagen und Stile</w:t>
      </w:r>
      <w:r>
        <w:rPr>
          <w:rFonts w:eastAsia="Tahoma"/>
          <w:u w:val="none"/>
          <w:lang w:val="de-DE"/>
        </w:rPr>
        <w:t xml:space="preserve">. Sie sind berechtigt, das Quell- und Objektcodeformat von Code zu kopieren, zu ändern und zu verbreiten, der als „Beispiel“, „Vorlage“, „einfache Stile“ und „Skizzenstile“ gekennzeichnet ist. </w:t>
      </w:r>
    </w:p>
    <w:p w14:paraId="42C1984C" w14:textId="77777777" w:rsidR="00431D2B" w:rsidRPr="0038341F" w:rsidRDefault="0038341F" w:rsidP="001142D7">
      <w:pPr>
        <w:pStyle w:val="Bullet4Underlined"/>
        <w:widowControl w:val="0"/>
        <w:ind w:left="1080" w:hanging="360"/>
        <w:rPr>
          <w:rFonts w:eastAsia="SimSun"/>
          <w:u w:val="none"/>
          <w:lang w:val="de-DE"/>
        </w:rPr>
      </w:pPr>
      <w:r>
        <w:rPr>
          <w:rFonts w:eastAsia="Tahoma"/>
          <w:b/>
          <w:bCs/>
          <w:u w:val="none"/>
          <w:lang w:val="de-DE"/>
        </w:rPr>
        <w:tab/>
      </w:r>
      <w:r>
        <w:rPr>
          <w:rFonts w:eastAsia="Tahoma"/>
          <w:lang w:val="de-DE"/>
        </w:rPr>
        <w:t>Vertrieb durch Dritte</w:t>
      </w:r>
      <w:r>
        <w:rPr>
          <w:rFonts w:eastAsia="Tahoma"/>
          <w:b/>
          <w:bCs/>
          <w:u w:val="none"/>
          <w:lang w:val="de-DE"/>
        </w:rPr>
        <w:t>.</w:t>
      </w:r>
      <w:r>
        <w:rPr>
          <w:rFonts w:eastAsia="Tahoma"/>
          <w:u w:val="none"/>
          <w:lang w:val="de-DE"/>
        </w:rPr>
        <w:t xml:space="preserve"> Sie sind berechtigt, Distributoren Ihrer Anwendungen zu erlauben, den vertreibbaren Code als Teil dieser Anwendungen zu kopieren und zu vertreiben.</w:t>
      </w:r>
    </w:p>
    <w:p w14:paraId="17FC7560" w14:textId="77777777" w:rsidR="00431D2B" w:rsidRPr="0038341F" w:rsidRDefault="0038341F" w:rsidP="001D3A43">
      <w:pPr>
        <w:pStyle w:val="Heading3Bold"/>
        <w:widowControl w:val="0"/>
        <w:numPr>
          <w:ilvl w:val="2"/>
          <w:numId w:val="7"/>
        </w:numPr>
        <w:tabs>
          <w:tab w:val="clear" w:pos="1077"/>
        </w:tabs>
        <w:ind w:left="720" w:hanging="360"/>
        <w:rPr>
          <w:rFonts w:eastAsia="SimSun"/>
          <w:b w:val="0"/>
          <w:bCs w:val="0"/>
          <w:lang w:val="de-DE"/>
        </w:rPr>
      </w:pPr>
      <w:r>
        <w:rPr>
          <w:rFonts w:eastAsia="Tahoma"/>
          <w:lang w:val="de-DE"/>
        </w:rPr>
        <w:t xml:space="preserve">Vertriebsbedingungen. </w:t>
      </w:r>
      <w:r>
        <w:rPr>
          <w:rFonts w:eastAsia="Tahoma"/>
          <w:b w:val="0"/>
          <w:bCs w:val="0"/>
          <w:lang w:val="de-DE"/>
        </w:rPr>
        <w:t>Für vertreibbaren Code, den Sie vertreiben, sind Sie verpflichtet:</w:t>
      </w:r>
    </w:p>
    <w:p w14:paraId="4B2FAE94" w14:textId="77777777" w:rsidR="00431D2B" w:rsidRPr="0038341F" w:rsidRDefault="0038341F" w:rsidP="001142D7">
      <w:pPr>
        <w:pStyle w:val="Bullet4"/>
        <w:widowControl w:val="0"/>
        <w:ind w:left="1080" w:hanging="360"/>
        <w:rPr>
          <w:rFonts w:eastAsia="SimSun"/>
          <w:lang w:val="de-DE"/>
        </w:rPr>
      </w:pPr>
      <w:r>
        <w:rPr>
          <w:rFonts w:eastAsia="Tahoma"/>
          <w:lang w:val="de-DE"/>
        </w:rPr>
        <w:t>demselben in Ihren Anwendungen wesentliche primäre Funktionalität hinzuzufügen;</w:t>
      </w:r>
    </w:p>
    <w:p w14:paraId="7F494146" w14:textId="77777777" w:rsidR="00431D2B" w:rsidRPr="0038341F" w:rsidRDefault="0038341F" w:rsidP="001142D7">
      <w:pPr>
        <w:pStyle w:val="Bullet4"/>
        <w:widowControl w:val="0"/>
        <w:ind w:left="1080" w:hanging="360"/>
        <w:rPr>
          <w:rFonts w:eastAsia="SimSun"/>
          <w:lang w:val="de-DE"/>
        </w:rPr>
      </w:pPr>
      <w:r>
        <w:rPr>
          <w:rFonts w:eastAsia="Tahoma"/>
          <w:lang w:val="de-DE"/>
        </w:rPr>
        <w:t>von Distributoren und externen Endbenutzern die Zustimmung zu Bestimmungen zu verlangen, die einen mindestens gleichwertigen Schutz für den vertreibbaren Code bieten wie diese Vereinbarung; und</w:t>
      </w:r>
    </w:p>
    <w:p w14:paraId="385A0EA5" w14:textId="77777777" w:rsidR="00431D2B" w:rsidRPr="0038341F" w:rsidRDefault="0038341F" w:rsidP="001142D7">
      <w:pPr>
        <w:pStyle w:val="Bullet4"/>
        <w:widowControl w:val="0"/>
        <w:ind w:left="1080" w:hanging="360"/>
        <w:rPr>
          <w:rFonts w:eastAsia="SimSun"/>
          <w:lang w:val="de-DE"/>
        </w:rPr>
      </w:pPr>
      <w:r>
        <w:rPr>
          <w:rFonts w:eastAsia="Tahoma"/>
          <w:lang w:val="de-DE"/>
        </w:rPr>
        <w:t>Microsoft von allen Ansprüchen freizustellen und gegen alle Ansprüche zu verteidigen, einschließlich Anwaltsgebühren, die mit dem Vertrieb oder der Verwendung Ihrer Anwendungen zusammenhängen, außer insoweit Ansprüche ausschließlich auf dem vertreibbaren Code beruhen.</w:t>
      </w:r>
    </w:p>
    <w:p w14:paraId="71F09F4A" w14:textId="77777777" w:rsidR="00431D2B" w:rsidRPr="0038341F" w:rsidRDefault="0038341F" w:rsidP="001D3A43">
      <w:pPr>
        <w:pStyle w:val="Heading3Bold"/>
        <w:widowControl w:val="0"/>
        <w:numPr>
          <w:ilvl w:val="2"/>
          <w:numId w:val="7"/>
        </w:numPr>
        <w:tabs>
          <w:tab w:val="clear" w:pos="1077"/>
        </w:tabs>
        <w:ind w:left="720" w:hanging="360"/>
        <w:rPr>
          <w:rFonts w:eastAsia="SimSun"/>
          <w:b w:val="0"/>
          <w:bCs w:val="0"/>
          <w:lang w:val="de-DE"/>
        </w:rPr>
      </w:pPr>
      <w:r>
        <w:rPr>
          <w:rFonts w:eastAsia="Tahoma"/>
          <w:lang w:val="de-DE"/>
        </w:rPr>
        <w:t xml:space="preserve">Vertriebsbeschränkungen. </w:t>
      </w:r>
      <w:r>
        <w:rPr>
          <w:rFonts w:eastAsia="Tahoma"/>
          <w:b w:val="0"/>
          <w:bCs w:val="0"/>
          <w:lang w:val="de-DE"/>
        </w:rPr>
        <w:t>Sie sind nicht dazu berechtigt:</w:t>
      </w:r>
    </w:p>
    <w:p w14:paraId="371BC16F" w14:textId="77777777" w:rsidR="00431D2B" w:rsidRPr="0038341F" w:rsidRDefault="0038341F" w:rsidP="001142D7">
      <w:pPr>
        <w:pStyle w:val="Bullet4"/>
        <w:widowControl w:val="0"/>
        <w:ind w:left="1080" w:hanging="360"/>
        <w:rPr>
          <w:rFonts w:eastAsia="SimSun"/>
          <w:lang w:val="de-DE"/>
        </w:rPr>
      </w:pPr>
      <w:r>
        <w:rPr>
          <w:rFonts w:eastAsia="Tahoma"/>
          <w:lang w:val="de-DE"/>
        </w:rPr>
        <w:t>die Marken von Microsoft in den Namen Ihrer Anwendungen oder auf eine Weise zu verwenden, die nahelegt, dass Ihre Anwendungen von Microsoft stammen oder von Microsoft empfohlen werden, oder</w:t>
      </w:r>
    </w:p>
    <w:p w14:paraId="3ED89A5D" w14:textId="77777777" w:rsidR="00C544CC" w:rsidRPr="0038341F" w:rsidRDefault="0038341F" w:rsidP="001142D7">
      <w:pPr>
        <w:pStyle w:val="Bullet4"/>
        <w:widowControl w:val="0"/>
        <w:ind w:left="1080" w:hanging="360"/>
        <w:rPr>
          <w:rFonts w:eastAsia="SimSun"/>
          <w:lang w:val="de-DE"/>
        </w:rPr>
      </w:pPr>
      <w:bookmarkStart w:id="1" w:name="_Hlk533060360"/>
      <w:r>
        <w:rPr>
          <w:rFonts w:eastAsia="Tahoma"/>
          <w:lang w:val="de-DE"/>
        </w:rPr>
        <w:t>den Quellcode von vertreibbarem Code so zu ändern oder zu vertreiben, dass irgendein Teil von ihm einer „ausgeschlossenen Lizenz“ unterliegt. Bei einer ausgeklammerten Lizenz handelt es sich um eine Lizenz, die als Bedingung für Nutzung, Änderung oder Verteilung des Codes erfordert, dass (a) diese in Quellcodeform offengelegt oder verteilt wird oder (b) andere das Recht haben, dieselbe zu ändern.</w:t>
      </w:r>
    </w:p>
    <w:bookmarkEnd w:id="1"/>
    <w:p w14:paraId="16A6AFDD" w14:textId="77777777" w:rsidR="00C96632" w:rsidRPr="00C96632" w:rsidRDefault="0038341F" w:rsidP="00C65D16">
      <w:pPr>
        <w:pStyle w:val="Heading1"/>
        <w:widowControl w:val="0"/>
        <w:rPr>
          <w:rFonts w:eastAsia="SimSun"/>
        </w:rPr>
      </w:pPr>
      <w:r>
        <w:rPr>
          <w:rFonts w:eastAsia="Tahoma"/>
          <w:lang w:val="de-DE"/>
        </w:rPr>
        <w:t>ENTWICKLUNG VON ERWEITERUNGEN.</w:t>
      </w:r>
    </w:p>
    <w:p w14:paraId="13B56F1B" w14:textId="77777777" w:rsidR="00305489" w:rsidRPr="0038341F" w:rsidRDefault="0038341F" w:rsidP="00305489">
      <w:pPr>
        <w:pStyle w:val="Heading2"/>
        <w:tabs>
          <w:tab w:val="clear" w:pos="1533"/>
          <w:tab w:val="num" w:pos="1350"/>
        </w:tabs>
        <w:ind w:left="720" w:hanging="360"/>
        <w:rPr>
          <w:rFonts w:eastAsia="SimSun"/>
          <w:b w:val="0"/>
          <w:lang w:val="de-DE"/>
        </w:rPr>
      </w:pPr>
      <w:r>
        <w:rPr>
          <w:rFonts w:eastAsia="Tahoma"/>
          <w:lang w:val="de-DE"/>
        </w:rPr>
        <w:t xml:space="preserve">Beschränkungen für Erweiterungen. </w:t>
      </w:r>
      <w:r>
        <w:rPr>
          <w:rFonts w:eastAsia="Tahoma"/>
          <w:b w:val="0"/>
          <w:bCs w:val="0"/>
          <w:lang w:val="de-DE"/>
        </w:rPr>
        <w:t>Sie sind nicht berechtigt, Erweiterungen für die Software (oder sonstige Komponenten der Visual Studio-Produktfamilie) zu entwickeln, die technische Beschränkungen umgehen, die in die Software implementiert wurden, oder andere in die Lage versetzen, diese zu entwickeln. Wenn Microsoft die Erweiterbarkeit der Software technisch beschränkt oder deaktiviert, sind Sie nicht berechtigt, die Software zu erweitern, unter anderem durch Laden oder Einfügen von nicht von Microsoft stammenden Add-Ins, Makros oder Paketen in die Software, Ändern der Registrierungseinstellungen der Software oder Hinzufügen von Features oder Funktionen, die der Visual Studio-Produktfamilie zu findenden Features oder Funktionen entsprechen.</w:t>
      </w:r>
    </w:p>
    <w:p w14:paraId="32740CAA" w14:textId="77777777" w:rsidR="00C96632" w:rsidRPr="0038341F" w:rsidRDefault="0038341F" w:rsidP="001E030A">
      <w:pPr>
        <w:pStyle w:val="Heading2"/>
        <w:tabs>
          <w:tab w:val="clear" w:pos="1533"/>
          <w:tab w:val="num" w:pos="1350"/>
        </w:tabs>
        <w:ind w:left="720" w:hanging="360"/>
        <w:rPr>
          <w:rFonts w:eastAsia="SimSun"/>
          <w:b w:val="0"/>
          <w:lang w:val="de-DE"/>
        </w:rPr>
      </w:pPr>
      <w:r>
        <w:rPr>
          <w:rFonts w:eastAsia="Tahoma"/>
          <w:lang w:val="de-DE"/>
        </w:rPr>
        <w:lastRenderedPageBreak/>
        <w:t>Keine Leistungsminderung der Software</w:t>
      </w:r>
      <w:r>
        <w:rPr>
          <w:rFonts w:eastAsia="Tahoma"/>
          <w:b w:val="0"/>
          <w:bCs w:val="0"/>
          <w:lang w:val="de-DE"/>
        </w:rPr>
        <w:t>. Wenn Sie eine Erweiterung für die Software (oder andere Komponenten der Visual Studio-Produktfamilie) entwickeln, müssen Sie die Installation, die Deinstallation und den Betrieb Ihrer Erweiterung testen, um sicherzustellen, dass diese Prozesse keine Features deaktivieren oder die Funktionalität der Software (oder der betreffenden Komponente) oder einer früheren Version oder Edition davon beeinträchtigen.</w:t>
      </w:r>
    </w:p>
    <w:p w14:paraId="2916B5E4" w14:textId="77777777" w:rsidR="00DE3D59" w:rsidRPr="00DE3D59" w:rsidRDefault="0038341F" w:rsidP="00C65D16">
      <w:pPr>
        <w:pStyle w:val="Heading1"/>
        <w:widowControl w:val="0"/>
        <w:rPr>
          <w:rFonts w:eastAsia="SimSun"/>
          <w:b w:val="0"/>
        </w:rPr>
      </w:pPr>
      <w:r>
        <w:rPr>
          <w:rFonts w:eastAsia="Tahoma"/>
          <w:lang w:val="de-DE"/>
        </w:rPr>
        <w:t xml:space="preserve">DATEN. </w:t>
      </w:r>
    </w:p>
    <w:p w14:paraId="674CC763" w14:textId="77777777" w:rsidR="00317D11" w:rsidRPr="0038341F" w:rsidRDefault="0038341F" w:rsidP="003D15FA">
      <w:pPr>
        <w:pStyle w:val="Heading2"/>
        <w:widowControl w:val="0"/>
        <w:tabs>
          <w:tab w:val="clear" w:pos="1533"/>
          <w:tab w:val="num" w:pos="720"/>
          <w:tab w:val="num" w:pos="1080"/>
        </w:tabs>
        <w:ind w:left="720" w:hanging="360"/>
        <w:rPr>
          <w:rFonts w:eastAsia="SimSun"/>
          <w:b w:val="0"/>
          <w:lang w:val="de-DE"/>
        </w:rPr>
      </w:pPr>
      <w:r>
        <w:rPr>
          <w:rFonts w:eastAsia="Tahoma"/>
          <w:lang w:val="de-DE"/>
        </w:rPr>
        <w:t>Datenerfassung.</w:t>
      </w:r>
      <w:r>
        <w:rPr>
          <w:rFonts w:eastAsia="Tahoma"/>
          <w:b w:val="0"/>
          <w:bCs w:val="0"/>
          <w:lang w:val="de-DE"/>
        </w:rPr>
        <w:t xml:space="preserve"> Die Software erhebt möglicherweise Informationen über Sie und Ihre Verwendung der Software und sendet diese an Microsoft. Microsoft kann diese Informationen verwenden, um unsere Produkte und Dienste bereitzustellen und zu verbessern. Sie können sich gegen viele dieser Szenarios entscheiden, jedoch nicht gegen alle, wie in der Softwaredokumentation beschrieben. Die Software besitzt </w:t>
      </w:r>
      <w:r>
        <w:rPr>
          <w:rFonts w:eastAsia="Tahoma"/>
          <w:b w:val="0"/>
          <w:bCs w:val="0"/>
          <w:color w:val="000000"/>
          <w:lang w:val="de-DE"/>
        </w:rPr>
        <w:t>auch einige Funktionen, mit denen Sie und Microsoft Informationen über die Nutzer Ihrer Anwendungen sammeln können.</w:t>
      </w:r>
      <w:r>
        <w:rPr>
          <w:rFonts w:eastAsia="Tahoma"/>
          <w:b w:val="0"/>
          <w:bCs w:val="0"/>
          <w:lang w:val="de-DE"/>
        </w:rPr>
        <w:t xml:space="preserve"> Wenn Sie diese Funktionen nutzen, müssen Sie die geltenden Gesetze einhalten, einschließlich der Bereitstellung entsprechender Hinweise für Nutzer Ihrer Anwendungen zusammen mit einer Kopie der Datenschutzerklärung von Microsoft. Unsere Datenschutzerklärung finden Sie unter </w:t>
      </w:r>
      <w:hyperlink r:id="rId8" w:history="1">
        <w:r>
          <w:rPr>
            <w:rFonts w:eastAsia="Tahoma"/>
            <w:b w:val="0"/>
            <w:bCs w:val="0"/>
            <w:color w:val="0000FF"/>
            <w:u w:val="single"/>
            <w:lang w:val="de-DE"/>
          </w:rPr>
          <w:t>https://go.microsoft.com/fwlink/?LinkID=824704</w:t>
        </w:r>
      </w:hyperlink>
      <w:r>
        <w:rPr>
          <w:rFonts w:eastAsia="Tahoma"/>
          <w:b w:val="0"/>
          <w:bCs w:val="0"/>
          <w:color w:val="0000FF"/>
          <w:lang w:val="de-DE"/>
        </w:rPr>
        <w:t xml:space="preserve">. </w:t>
      </w:r>
      <w:r>
        <w:rPr>
          <w:rFonts w:eastAsia="Tahoma"/>
          <w:b w:val="0"/>
          <w:bCs w:val="0"/>
          <w:lang w:val="de-DE"/>
        </w:rPr>
        <w:t>Mehr über Datensammlung und deren Nutzung können Sie in der Softwaredokumentation und in unserer Datenschutzerklärung erfahren. Durch die Nutzung der Software erklären Sie sich mit diesen Praktiken einverstanden.</w:t>
      </w:r>
    </w:p>
    <w:p w14:paraId="078A1FD2" w14:textId="27470C24" w:rsidR="00DE3D59" w:rsidRPr="0038341F" w:rsidRDefault="0038341F" w:rsidP="003D15FA">
      <w:pPr>
        <w:pStyle w:val="Heading2"/>
        <w:widowControl w:val="0"/>
        <w:tabs>
          <w:tab w:val="clear" w:pos="1533"/>
          <w:tab w:val="num" w:pos="720"/>
          <w:tab w:val="num" w:pos="1080"/>
        </w:tabs>
        <w:ind w:left="720" w:hanging="360"/>
        <w:rPr>
          <w:rFonts w:eastAsia="SimSun"/>
          <w:b w:val="0"/>
          <w:lang w:val="de-DE"/>
        </w:rPr>
      </w:pPr>
      <w:r>
        <w:rPr>
          <w:rFonts w:eastAsia="Tahoma"/>
          <w:lang w:val="de-DE"/>
        </w:rPr>
        <w:t xml:space="preserve">Verarbeitung personenbezogener Daten. </w:t>
      </w:r>
      <w:r>
        <w:rPr>
          <w:rFonts w:eastAsia="Tahoma"/>
          <w:b w:val="0"/>
          <w:bCs w:val="0"/>
          <w:lang w:val="de-DE"/>
        </w:rPr>
        <w:t xml:space="preserve">Soweit Microsoft im Zusammenhang mit der Software als Auftragsverarbeiter oder Unterauftragsverarbeiter von personenbezogenen Daten auftritt, geht Microsoft zum 25. Mai 2018 allen Kunden gegenüber die Verpflichtungen gemäß den in den Onlinediensten enthaltenen Bestimmungen der Datenschutz-Grundverordnung der Europäischen Union ein. Siehe auch unter: </w:t>
      </w:r>
      <w:hyperlink r:id="rId9" w:history="1">
        <w:r>
          <w:rPr>
            <w:rFonts w:eastAsia="Tahoma"/>
            <w:b w:val="0"/>
            <w:bCs w:val="0"/>
            <w:color w:val="0000FF"/>
            <w:u w:val="single"/>
            <w:lang w:val="de-DE"/>
          </w:rPr>
          <w:t>https://docs.microsoft.com/en-us/legal/gdpr</w:t>
        </w:r>
      </w:hyperlink>
      <w:r>
        <w:rPr>
          <w:rFonts w:eastAsia="Tahoma"/>
          <w:b w:val="0"/>
          <w:bCs w:val="0"/>
          <w:lang w:val="de-DE"/>
        </w:rPr>
        <w:t>.</w:t>
      </w:r>
      <w:hyperlink w:history="1"/>
    </w:p>
    <w:p w14:paraId="58F3829F" w14:textId="77777777" w:rsidR="00431D2B" w:rsidRPr="00E24474" w:rsidRDefault="0038341F" w:rsidP="00E24474">
      <w:pPr>
        <w:pStyle w:val="Heading1"/>
        <w:widowControl w:val="0"/>
        <w:numPr>
          <w:ilvl w:val="0"/>
          <w:numId w:val="0"/>
        </w:numPr>
        <w:ind w:left="447" w:hanging="357"/>
        <w:rPr>
          <w:rFonts w:eastAsia="SimSun"/>
          <w:b w:val="0"/>
        </w:rPr>
      </w:pPr>
      <w:bookmarkStart w:id="2" w:name="_Ref324612435"/>
      <w:bookmarkEnd w:id="2"/>
      <w:r>
        <w:rPr>
          <w:rFonts w:eastAsia="Tahoma"/>
          <w:lang w:val="de-DE"/>
        </w:rPr>
        <w:t>7.</w:t>
      </w:r>
      <w:r>
        <w:rPr>
          <w:rFonts w:eastAsia="Tahoma"/>
          <w:lang w:val="de-DE"/>
        </w:rPr>
        <w:tab/>
        <w:t xml:space="preserve">LIZENZUMFANG. </w:t>
      </w:r>
      <w:r>
        <w:rPr>
          <w:rFonts w:eastAsia="Tahoma"/>
          <w:b w:val="0"/>
          <w:bCs w:val="0"/>
          <w:lang w:val="de-DE"/>
        </w:rPr>
        <w:t>Die Software wird lizenziert, nicht verkauft. Diese Lizenzbestimmungen gewähren Ihnen lediglich eingeschränkte Nutzungsrechte an der Software. Microsoft behält sich alle anderen Rechte vor. Sie dürfen die Software nur wie in diesen Lizenzbestimmungen ausdrücklich gestattet nutzen, es sei denn, das anwendbare Recht gibt Ihnen ungeachtet dieser Einschränkung umfassendere Rechte. Dabei sind Sie verpflichtet, alle technischen Beschränkungen der Software einzuhalten, die Ihnen nur spezielle Verwendungen gestatten. Des Weiteren ist Ihnen untersagt:</w:t>
      </w:r>
    </w:p>
    <w:p w14:paraId="10E6E49B" w14:textId="77777777" w:rsidR="00431D2B" w:rsidRPr="0038341F" w:rsidRDefault="0038341F" w:rsidP="001142D7">
      <w:pPr>
        <w:pStyle w:val="Bullet4Underline"/>
        <w:widowControl w:val="0"/>
        <w:numPr>
          <w:ilvl w:val="0"/>
          <w:numId w:val="3"/>
        </w:numPr>
        <w:tabs>
          <w:tab w:val="num" w:pos="720"/>
        </w:tabs>
        <w:ind w:left="720" w:hanging="360"/>
        <w:rPr>
          <w:rFonts w:eastAsia="SimSun"/>
          <w:u w:val="none"/>
          <w:lang w:val="de-DE"/>
        </w:rPr>
      </w:pPr>
      <w:r>
        <w:rPr>
          <w:rFonts w:eastAsia="Tahoma"/>
          <w:u w:val="none"/>
          <w:lang w:val="de-DE"/>
        </w:rPr>
        <w:t>technische Beschränkungen der Software zu umgehen;</w:t>
      </w:r>
    </w:p>
    <w:p w14:paraId="04DCD5CB" w14:textId="77777777" w:rsidR="00431D2B" w:rsidRPr="0038341F" w:rsidRDefault="0038341F" w:rsidP="004603E1">
      <w:pPr>
        <w:pStyle w:val="Bullet4Underline"/>
        <w:widowControl w:val="0"/>
        <w:numPr>
          <w:ilvl w:val="0"/>
          <w:numId w:val="3"/>
        </w:numPr>
        <w:tabs>
          <w:tab w:val="num" w:pos="720"/>
        </w:tabs>
        <w:ind w:left="720" w:hanging="360"/>
        <w:rPr>
          <w:rFonts w:eastAsia="SimSun"/>
          <w:u w:val="none"/>
          <w:lang w:val="de-DE"/>
        </w:rPr>
      </w:pPr>
      <w:r>
        <w:rPr>
          <w:rFonts w:eastAsia="Tahoma"/>
          <w:u w:val="none"/>
          <w:lang w:val="de-DE"/>
        </w:rPr>
        <w:t>die Software zurückzuentwickeln, zu dekompilieren oder zu disassemblieren oder anderweitig zu versuchen, den Quellcode für die Software abzuleiten, außer und insofern wie dies in Lizenzierungsbedingungen für Dritte vorgesehen ist, die die Verwendung bestimmter Open-Source-Komponenten regeln, die in der Software enthalten sein können;</w:t>
      </w:r>
    </w:p>
    <w:p w14:paraId="27028B2A" w14:textId="77777777" w:rsidR="00294947" w:rsidRPr="0038341F" w:rsidRDefault="0038341F" w:rsidP="001142D7">
      <w:pPr>
        <w:pStyle w:val="Bullet4Underline"/>
        <w:widowControl w:val="0"/>
        <w:numPr>
          <w:ilvl w:val="0"/>
          <w:numId w:val="3"/>
        </w:numPr>
        <w:tabs>
          <w:tab w:val="num" w:pos="720"/>
        </w:tabs>
        <w:ind w:left="720" w:hanging="360"/>
        <w:rPr>
          <w:rFonts w:eastAsia="SimSun"/>
          <w:u w:val="none"/>
          <w:lang w:val="de-DE"/>
        </w:rPr>
      </w:pPr>
      <w:r>
        <w:rPr>
          <w:rFonts w:eastAsia="Tahoma"/>
          <w:u w:val="none"/>
          <w:lang w:val="de-DE"/>
        </w:rPr>
        <w:t>Mitteilungen der Firma Microsoft oder Microsofts Lieferanten in der Software entfernen, minimieren, blockieren oder verändern;</w:t>
      </w:r>
    </w:p>
    <w:p w14:paraId="27A18980" w14:textId="77777777" w:rsidR="00431D2B" w:rsidRPr="0038341F" w:rsidRDefault="0038341F" w:rsidP="001142D7">
      <w:pPr>
        <w:pStyle w:val="Bullet4Underline"/>
        <w:widowControl w:val="0"/>
        <w:numPr>
          <w:ilvl w:val="0"/>
          <w:numId w:val="3"/>
        </w:numPr>
        <w:tabs>
          <w:tab w:val="num" w:pos="720"/>
        </w:tabs>
        <w:ind w:left="720" w:hanging="360"/>
        <w:rPr>
          <w:rFonts w:eastAsia="SimSun"/>
          <w:u w:val="none"/>
          <w:lang w:val="de-DE"/>
        </w:rPr>
      </w:pPr>
      <w:r>
        <w:rPr>
          <w:rFonts w:eastAsia="Tahoma"/>
          <w:u w:val="none"/>
          <w:lang w:val="de-DE"/>
        </w:rPr>
        <w:t>die Software auf eine Weise zu verwenden, die gegen das Gesetz verstößt;</w:t>
      </w:r>
    </w:p>
    <w:p w14:paraId="7B24B2A9" w14:textId="77777777" w:rsidR="005C128A" w:rsidRPr="0038341F" w:rsidRDefault="0038341F" w:rsidP="00605ED3">
      <w:pPr>
        <w:pStyle w:val="Bullet4Underline"/>
        <w:widowControl w:val="0"/>
        <w:numPr>
          <w:ilvl w:val="0"/>
          <w:numId w:val="3"/>
        </w:numPr>
        <w:tabs>
          <w:tab w:val="num" w:pos="720"/>
        </w:tabs>
        <w:ind w:left="720" w:hanging="360"/>
        <w:rPr>
          <w:rFonts w:eastAsia="SimSun"/>
          <w:u w:val="none"/>
          <w:lang w:val="de-DE"/>
        </w:rPr>
      </w:pPr>
      <w:r>
        <w:rPr>
          <w:rFonts w:eastAsia="Tahoma"/>
          <w:u w:val="none"/>
          <w:lang w:val="de-DE"/>
        </w:rPr>
        <w:t xml:space="preserve">die Software gemeinsam zu nutzen, zu veröffentlichen, zu vermieten oder zu leasen; oder </w:t>
      </w:r>
    </w:p>
    <w:p w14:paraId="49E70251" w14:textId="77777777" w:rsidR="00431D2B" w:rsidRPr="0038341F" w:rsidRDefault="0038341F" w:rsidP="00605ED3">
      <w:pPr>
        <w:pStyle w:val="Bullet4Underline"/>
        <w:widowControl w:val="0"/>
        <w:numPr>
          <w:ilvl w:val="0"/>
          <w:numId w:val="3"/>
        </w:numPr>
        <w:tabs>
          <w:tab w:val="num" w:pos="720"/>
        </w:tabs>
        <w:ind w:left="720" w:hanging="360"/>
        <w:rPr>
          <w:rFonts w:eastAsia="SimSun"/>
          <w:u w:val="none"/>
          <w:lang w:val="de-DE"/>
        </w:rPr>
      </w:pPr>
      <w:r>
        <w:rPr>
          <w:rFonts w:eastAsia="Tahoma"/>
          <w:u w:val="none"/>
          <w:lang w:val="de-DE"/>
        </w:rPr>
        <w:t>die Software als eigenständiges Angebot oder in Verbindung mit einer anderen Ihrer Anwendungen für die Nutzung durch andere bereitzustellen.</w:t>
      </w:r>
    </w:p>
    <w:p w14:paraId="3E50C042" w14:textId="42B4EC37" w:rsidR="00431D2B" w:rsidRPr="0038341F" w:rsidRDefault="0038341F" w:rsidP="00EF506A">
      <w:pPr>
        <w:pStyle w:val="Heading1"/>
        <w:widowControl w:val="0"/>
        <w:numPr>
          <w:ilvl w:val="0"/>
          <w:numId w:val="41"/>
        </w:numPr>
        <w:rPr>
          <w:rFonts w:eastAsia="SimSun"/>
          <w:b w:val="0"/>
          <w:lang w:val="de-DE"/>
        </w:rPr>
      </w:pPr>
      <w:r>
        <w:rPr>
          <w:rFonts w:eastAsia="Tahoma"/>
          <w:lang w:val="de-DE"/>
        </w:rPr>
        <w:t xml:space="preserve">NICHT ZUM WEITERVERKAUF BESTIMMTE SOFTWARE. </w:t>
      </w:r>
      <w:r>
        <w:rPr>
          <w:rFonts w:eastAsia="Tahoma"/>
          <w:b w:val="0"/>
          <w:bCs w:val="0"/>
          <w:lang w:val="de-DE"/>
        </w:rPr>
        <w:t>Sie dürfen keine Software verkaufen, wenn diese als „NFR (Not for Resale)“ oder „Nicht zum Weiterverkauf“ gekennzeichnet ist.</w:t>
      </w:r>
    </w:p>
    <w:p w14:paraId="3AEC6DDB" w14:textId="77777777" w:rsidR="00431D2B" w:rsidRPr="0038341F" w:rsidRDefault="0038341F" w:rsidP="00AE63A4">
      <w:pPr>
        <w:pStyle w:val="Heading1"/>
        <w:widowControl w:val="0"/>
        <w:rPr>
          <w:rFonts w:eastAsia="SimSun"/>
          <w:b w:val="0"/>
          <w:lang w:val="de-DE"/>
        </w:rPr>
      </w:pPr>
      <w:r>
        <w:rPr>
          <w:rFonts w:eastAsia="Tahoma"/>
          <w:lang w:val="de-DE"/>
        </w:rPr>
        <w:t xml:space="preserve">FRÜHERE VERSIONEN ODER ANDERE EDITIONEN. </w:t>
      </w:r>
      <w:r>
        <w:rPr>
          <w:rFonts w:eastAsia="Tahoma"/>
          <w:b w:val="0"/>
          <w:bCs w:val="0"/>
          <w:lang w:val="de-DE"/>
        </w:rPr>
        <w:t>Diese Lizenzbestimmungen haben keinen Vorrang vor Ihrem Recht, frühere Versionen oder andere Editionen der ordnungsgemäß lizenzierten Software zu verwenden. Sie können die Software und die früheren Versionen oder andere Editionen gleichzeitig verwenden.</w:t>
      </w:r>
    </w:p>
    <w:p w14:paraId="1B3F4826" w14:textId="77777777" w:rsidR="00431D2B" w:rsidRPr="0038341F" w:rsidRDefault="0038341F" w:rsidP="00431D2B">
      <w:pPr>
        <w:pStyle w:val="Heading1"/>
        <w:widowControl w:val="0"/>
        <w:rPr>
          <w:rFonts w:eastAsia="SimSun"/>
          <w:b w:val="0"/>
          <w:color w:val="000000" w:themeColor="text1"/>
          <w:lang w:val="de-DE"/>
        </w:rPr>
      </w:pPr>
      <w:r w:rsidRPr="0038341F">
        <w:rPr>
          <w:rFonts w:eastAsia="Tahoma"/>
          <w:color w:val="000000"/>
        </w:rPr>
        <w:t xml:space="preserve">LIZENZNACHWEIS („Proof of License“ oder „POL“). </w:t>
      </w:r>
      <w:r>
        <w:rPr>
          <w:rFonts w:eastAsia="Tahoma"/>
          <w:b w:val="0"/>
          <w:bCs w:val="0"/>
          <w:color w:val="000000"/>
          <w:lang w:val="de-DE"/>
        </w:rPr>
        <w:t xml:space="preserve">Wenn Sie die Software auf einem Datenträger oder anderen Medien erworben haben, ist Ihr Lizenznachweis das Microsoft-Echtheitszertifikatsetikett, der zugehörige Product Key und Ihr Kassenzettel. Wenn Sie eine Online-Kopie der Software gekauft haben, ist Ihr Lizenznachweis der Product Key von Microsoft, den Sie beim Kauf erhalten haben, sowie Ihr Kaufbeleg und/oder Ihre Fähigkeit, über Ihren Microsoft-Account auf den Softwaredienst zuzugreifen. Informationen zum Identifizieren originaler Microsoft-Software finden Sie unter </w:t>
      </w:r>
      <w:hyperlink r:id="rId10" w:history="1">
        <w:r>
          <w:rPr>
            <w:rFonts w:eastAsia="Tahoma"/>
            <w:b w:val="0"/>
            <w:bCs w:val="0"/>
            <w:color w:val="0000FF"/>
            <w:u w:val="single"/>
            <w:lang w:val="de-DE"/>
          </w:rPr>
          <w:t>www.howtotell.com</w:t>
        </w:r>
      </w:hyperlink>
      <w:r>
        <w:rPr>
          <w:rFonts w:eastAsia="Tahoma"/>
          <w:b w:val="0"/>
          <w:bCs w:val="0"/>
          <w:lang w:val="de-DE"/>
        </w:rPr>
        <w:t>.</w:t>
      </w:r>
    </w:p>
    <w:p w14:paraId="65BF8842" w14:textId="77777777" w:rsidR="00431D2B" w:rsidRPr="0038341F" w:rsidRDefault="0038341F" w:rsidP="00EF506A">
      <w:pPr>
        <w:pStyle w:val="Heading1"/>
        <w:widowControl w:val="0"/>
        <w:rPr>
          <w:rFonts w:eastAsia="SimSun"/>
          <w:b w:val="0"/>
          <w:color w:val="000000" w:themeColor="text1"/>
          <w:lang w:val="de-DE"/>
        </w:rPr>
      </w:pPr>
      <w:r>
        <w:rPr>
          <w:rFonts w:eastAsia="Tahoma"/>
          <w:color w:val="000000"/>
          <w:lang w:val="de-DE"/>
        </w:rPr>
        <w:t xml:space="preserve">ÜBERTRAGUNG AN DRITTE.  </w:t>
      </w:r>
      <w:r>
        <w:rPr>
          <w:rFonts w:eastAsia="Tahoma"/>
          <w:b w:val="0"/>
          <w:bCs w:val="0"/>
          <w:color w:val="000000"/>
          <w:lang w:val="de-DE"/>
        </w:rPr>
        <w:t xml:space="preserve">Als berechtigter Lizenznehmer der Software sind Sie berechtigt, diese sowie die </w:t>
      </w:r>
      <w:r>
        <w:rPr>
          <w:rFonts w:eastAsia="Tahoma"/>
          <w:b w:val="0"/>
          <w:bCs w:val="0"/>
          <w:color w:val="000000"/>
          <w:lang w:val="de-DE"/>
        </w:rPr>
        <w:lastRenderedPageBreak/>
        <w:t>Vereinbarung direkt an eine andere Partei abzutreten. Vor der Übertragung muss sich die andere Partei damit einverstanden erklären, dass diese Lizenzbedingungen für die Übertragung und Nutzung der Software gelten. Die Übertragung muss die Software, diese Vereinbarung, den originalen Product Key von Microsoft und (falls zutreffend) das POL Label umfassen. Der Übertragende ist verpflichtet, alle Kopien der Software zu deinstallieren, nachdem er sie vom Gerät überträgt. Der Übertragende ist nicht berechtigt, beliebige Kopien des zu übertragenden originalen Product Key von Microsoft zurückzubehalten; er ist ausschließlich dazu berechtigt, Kopien der Software zurückzubehalten, wenn dies anderweitig lizenziert wurde. Wenn Sie eine zeitlich beschränkte Lizenz zur Verwendung der Software erworben haben oder wenn die Software als „Nicht zum Weiterverkauf bestimmt“ („Not for Resale“) gekennzeichnet ist, sind Sie nicht berechtigt, die Software oder den Software-Lizenzvertrag auf eine andere Partei zu übertragen.</w:t>
      </w:r>
    </w:p>
    <w:p w14:paraId="7FDB3D7D" w14:textId="77777777" w:rsidR="00431D2B" w:rsidRPr="0038341F" w:rsidRDefault="0038341F" w:rsidP="00431D2B">
      <w:pPr>
        <w:pStyle w:val="Heading1"/>
        <w:widowControl w:val="0"/>
        <w:rPr>
          <w:rFonts w:eastAsia="SimSun"/>
          <w:b w:val="0"/>
          <w:color w:val="000000" w:themeColor="text1"/>
          <w:lang w:val="de-DE"/>
        </w:rPr>
      </w:pPr>
      <w:r>
        <w:rPr>
          <w:rFonts w:eastAsia="Tahoma"/>
          <w:color w:val="000000"/>
          <w:lang w:val="de-DE"/>
        </w:rPr>
        <w:t xml:space="preserve">EXPORTBESCHRÄNKUNGEN. </w:t>
      </w:r>
      <w:r>
        <w:rPr>
          <w:rFonts w:eastAsia="Tahoma"/>
          <w:b w:val="0"/>
          <w:bCs w:val="0"/>
          <w:color w:val="000000"/>
          <w:lang w:val="de-DE"/>
        </w:rPr>
        <w:t xml:space="preserve">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1" w:history="1">
        <w:r>
          <w:rPr>
            <w:rFonts w:eastAsia="Tahoma"/>
            <w:b w:val="0"/>
            <w:bCs w:val="0"/>
            <w:color w:val="0000FF"/>
            <w:u w:val="single"/>
            <w:lang w:val="de-DE"/>
          </w:rPr>
          <w:t>www.microsoft.com/exporting</w:t>
        </w:r>
      </w:hyperlink>
      <w:r>
        <w:rPr>
          <w:rFonts w:eastAsia="Tahoma"/>
          <w:b w:val="0"/>
          <w:bCs w:val="0"/>
          <w:color w:val="000000"/>
          <w:lang w:val="de-DE"/>
        </w:rPr>
        <w:t>.</w:t>
      </w:r>
    </w:p>
    <w:p w14:paraId="18D2EBBC" w14:textId="77777777" w:rsidR="005B013E" w:rsidRPr="0038341F" w:rsidRDefault="0038341F" w:rsidP="00F3419D">
      <w:pPr>
        <w:pStyle w:val="Heading1"/>
        <w:widowControl w:val="0"/>
        <w:rPr>
          <w:rFonts w:eastAsia="SimSun"/>
          <w:b w:val="0"/>
          <w:bCs w:val="0"/>
          <w:color w:val="000000" w:themeColor="text1"/>
          <w:u w:val="single"/>
          <w:lang w:val="de-DE"/>
        </w:rPr>
      </w:pPr>
      <w:r>
        <w:rPr>
          <w:rFonts w:eastAsia="Tahoma"/>
          <w:color w:val="000000"/>
          <w:lang w:val="de-DE"/>
        </w:rPr>
        <w:t xml:space="preserve">SUPPORT. </w:t>
      </w:r>
      <w:r>
        <w:rPr>
          <w:rFonts w:eastAsia="Tahoma"/>
          <w:b w:val="0"/>
          <w:bCs w:val="0"/>
          <w:color w:val="000000"/>
          <w:lang w:val="de-DE"/>
        </w:rPr>
        <w:t xml:space="preserve">Microsoft unterstützt die Software wie unter </w:t>
      </w:r>
      <w:hyperlink r:id="rId12" w:history="1">
        <w:r>
          <w:rPr>
            <w:rFonts w:eastAsia="Tahoma" w:cs="Times New Roman"/>
            <w:b w:val="0"/>
            <w:bCs w:val="0"/>
            <w:color w:val="0000FF"/>
            <w:u w:val="single"/>
            <w:lang w:val="de-DE"/>
          </w:rPr>
          <w:t>https://support.microsoft.com</w:t>
        </w:r>
      </w:hyperlink>
      <w:r>
        <w:rPr>
          <w:rFonts w:eastAsia="Tahoma"/>
          <w:b w:val="0"/>
          <w:bCs w:val="0"/>
          <w:color w:val="000000"/>
          <w:lang w:val="de-DE"/>
        </w:rPr>
        <w:t xml:space="preserve"> beschrieben.</w:t>
      </w:r>
    </w:p>
    <w:p w14:paraId="6EAA4092" w14:textId="77777777" w:rsidR="00431D2B" w:rsidRPr="0038341F" w:rsidRDefault="0038341F" w:rsidP="00431D2B">
      <w:pPr>
        <w:pStyle w:val="Heading1"/>
        <w:widowControl w:val="0"/>
        <w:rPr>
          <w:rFonts w:eastAsia="SimSun"/>
          <w:b w:val="0"/>
          <w:color w:val="000000" w:themeColor="text1"/>
          <w:lang w:val="de-DE"/>
        </w:rPr>
      </w:pPr>
      <w:r>
        <w:rPr>
          <w:rFonts w:eastAsia="Tahoma"/>
          <w:color w:val="000000"/>
          <w:lang w:val="de-DE"/>
        </w:rPr>
        <w:t xml:space="preserve">GESAMTVEREINBARUNG. </w:t>
      </w:r>
      <w:r>
        <w:rPr>
          <w:rFonts w:eastAsia="Tahoma"/>
          <w:b w:val="0"/>
          <w:bCs w:val="0"/>
          <w:color w:val="000000"/>
          <w:lang w:val="de-DE"/>
        </w:rPr>
        <w:t>Diese Lizenzbedingungen (einschließlich nachstehender Garantie) sowie die Bestimmungen für Ergänzungen, Aktualisierungen, internetbasierte Dienste und Supportleistungen stellen die Gesamtvereinbarung über die Software und Supportleistungen dar.</w:t>
      </w:r>
    </w:p>
    <w:p w14:paraId="147C0080" w14:textId="77777777" w:rsidR="00431D2B" w:rsidRPr="0038341F" w:rsidRDefault="0038341F" w:rsidP="00DE3D59">
      <w:pPr>
        <w:pStyle w:val="Heading1"/>
        <w:widowControl w:val="0"/>
        <w:rPr>
          <w:rFonts w:eastAsia="SimSun"/>
          <w:color w:val="000000" w:themeColor="text1"/>
          <w:lang w:val="de-DE"/>
        </w:rPr>
      </w:pPr>
      <w:r>
        <w:rPr>
          <w:rFonts w:eastAsia="Tahoma"/>
          <w:color w:val="000000"/>
          <w:lang w:val="de-DE"/>
        </w:rPr>
        <w:t xml:space="preserve">ANWENDBARES RECHT. </w:t>
      </w:r>
      <w:r>
        <w:rPr>
          <w:rFonts w:eastAsia="Tahoma"/>
          <w:b w:val="0"/>
          <w:bCs w:val="0"/>
          <w:color w:val="000000"/>
          <w:lang w:val="de-DE"/>
        </w:rPr>
        <w:t>Wenn Sie die Software in den USA erworben haben, gelten für die Auslegung und die Ansprüche aus Verletzung dieser Vereinbarung die Gesetze des Bundesstaats Washington und für alle anderen Ansprüche die Gesetze Ihres Wohnsitzstaates. Wenn Sie die Software in einem anderen Land erwerben, gelten die Gesetze des betreffenden Landes.</w:t>
      </w:r>
    </w:p>
    <w:p w14:paraId="742BF1DC" w14:textId="09830CD7" w:rsidR="0050688B" w:rsidRPr="0038341F" w:rsidRDefault="0038341F" w:rsidP="00DE3D59">
      <w:pPr>
        <w:pStyle w:val="Heading1"/>
        <w:widowControl w:val="0"/>
        <w:rPr>
          <w:b w:val="0"/>
          <w:color w:val="000000" w:themeColor="text1"/>
          <w:lang w:val="de-DE"/>
        </w:rPr>
      </w:pPr>
      <w:r>
        <w:rPr>
          <w:rFonts w:eastAsia="Tahoma"/>
          <w:color w:val="000000"/>
          <w:lang w:val="de-DE"/>
        </w:rPr>
        <w:t xml:space="preserve">VERBRAUCHERRECHTE, REGIONALE VARIANTEN. </w:t>
      </w:r>
      <w:r>
        <w:rPr>
          <w:rFonts w:eastAsia="Tahoma"/>
          <w:b w:val="0"/>
          <w:bCs w:val="0"/>
          <w:color w:val="000000"/>
          <w:lang w:val="de-DE"/>
        </w:rPr>
        <w:t>Diese Lizenzbestimmungen beschreiben bestimmte gesetzliche Rechte. Möglicherweise sehen die Gesetze Ihres Staates oder Landes andere Rechte vor, einschließlich Verbraucherrechte. Möglicherweise haben Sie auch Rechte gegenüber der Partei, von der Sie die Software erworben haben. Diese Vereinbarung ändert diese anderen Rechte nicht, wenn die Gesetze Ihres Bundesstaates oder Landes dies nicht gestatten. Wenn Sie z. B. die Software in einer der folgenden Regionen erworben haben oder wenn obligatorische Landesgesetze zur Anwendung kommen, gelten die folgenden Bestimmungen für Sie:</w:t>
      </w:r>
    </w:p>
    <w:p w14:paraId="54EA6A13" w14:textId="77777777" w:rsidR="0050688B" w:rsidRPr="0038341F" w:rsidRDefault="0038341F" w:rsidP="0050688B">
      <w:pPr>
        <w:pStyle w:val="Heading2"/>
        <w:numPr>
          <w:ilvl w:val="0"/>
          <w:numId w:val="24"/>
        </w:numPr>
        <w:tabs>
          <w:tab w:val="left" w:pos="720"/>
        </w:tabs>
        <w:rPr>
          <w:b w:val="0"/>
          <w:color w:val="000000" w:themeColor="text1"/>
          <w:lang w:val="de-DE"/>
        </w:rPr>
      </w:pPr>
      <w:r>
        <w:rPr>
          <w:rFonts w:eastAsia="Tahoma"/>
          <w:color w:val="000000"/>
          <w:lang w:val="de-DE"/>
        </w:rPr>
        <w:t xml:space="preserve">Australien. </w:t>
      </w:r>
      <w:r>
        <w:rPr>
          <w:rFonts w:eastAsia="Tahoma"/>
          <w:b w:val="0"/>
          <w:bCs w:val="0"/>
          <w:color w:val="000000"/>
          <w:lang w:val="de-DE"/>
        </w:rPr>
        <w:t>Verweise auf „beschränkte Garantie“ sind Verweise auf die ausdrücklich von Microsoft gewährte Garantie. Diese Garantie wird zusätzlich zu anderen Rechten und Abhilfeansprüchen gewährt, die Sie möglicherweise nach dem Gesetz haben, einschließlich Ihrer Rechte und Abhilfeansprüche laut den gesetzlichen Garantien gemäß dem Australian Consumer Law.</w:t>
      </w:r>
    </w:p>
    <w:p w14:paraId="3FF43D22" w14:textId="77777777" w:rsidR="0050688B" w:rsidRPr="0038341F" w:rsidRDefault="0038341F" w:rsidP="0050688B">
      <w:pPr>
        <w:pStyle w:val="Heading2"/>
        <w:numPr>
          <w:ilvl w:val="0"/>
          <w:numId w:val="0"/>
        </w:numPr>
        <w:tabs>
          <w:tab w:val="left" w:pos="720"/>
        </w:tabs>
        <w:ind w:left="717"/>
        <w:rPr>
          <w:b w:val="0"/>
          <w:color w:val="000000" w:themeColor="text1"/>
          <w:lang w:val="de-DE"/>
        </w:rPr>
      </w:pPr>
      <w:r>
        <w:rPr>
          <w:rFonts w:eastAsia="Tahoma"/>
          <w:b w:val="0"/>
          <w:color w:val="000000"/>
          <w:lang w:val="de-DE"/>
        </w:rPr>
        <w:t>In dieser Ziffer beziehen sich „Waren“ auf die Software, für die Microsoft ausdrücklich eine Garantie gewährt. Für unsere Waren gelten Garantien, die nach dem Australian Consumer Law nicht ausgeschlossen werden können. Bei einem wesentlichen Fehler haben Sie Anspruch auf einen Ersatz oder eine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w:t>
      </w:r>
    </w:p>
    <w:p w14:paraId="17DA2037" w14:textId="77777777" w:rsidR="0050688B" w:rsidRPr="0038341F" w:rsidRDefault="0038341F" w:rsidP="0050688B">
      <w:pPr>
        <w:pStyle w:val="Heading2"/>
        <w:numPr>
          <w:ilvl w:val="0"/>
          <w:numId w:val="24"/>
        </w:numPr>
        <w:tabs>
          <w:tab w:val="left" w:pos="720"/>
        </w:tabs>
        <w:rPr>
          <w:b w:val="0"/>
          <w:color w:val="000000" w:themeColor="text1"/>
          <w:lang w:val="de-DE"/>
        </w:rPr>
      </w:pPr>
      <w:r>
        <w:rPr>
          <w:rFonts w:eastAsia="Tahoma"/>
          <w:color w:val="000000"/>
          <w:lang w:val="de-DE"/>
        </w:rPr>
        <w:t xml:space="preserve">Kanada. </w:t>
      </w:r>
      <w:r>
        <w:rPr>
          <w:rFonts w:eastAsia="Tahoma"/>
          <w:b w:val="0"/>
          <w:bCs w:val="0"/>
          <w:color w:val="000000"/>
          <w:lang w:val="de-DE"/>
        </w:rPr>
        <w:t>Sie können den Erhalt von Aktualisierungen stoppen, indem Sie den Internetzugriff deaktivieren.  Sobald Sie wieder eine Internetverbindung herstellen, sucht die Software wieder nach Aktualisierungen und installiert diese.</w:t>
      </w:r>
    </w:p>
    <w:p w14:paraId="26128FCF" w14:textId="77777777" w:rsidR="0050688B" w:rsidRPr="00833562" w:rsidRDefault="0038341F" w:rsidP="0050688B">
      <w:pPr>
        <w:pStyle w:val="Heading2"/>
        <w:numPr>
          <w:ilvl w:val="0"/>
          <w:numId w:val="24"/>
        </w:numPr>
        <w:tabs>
          <w:tab w:val="left" w:pos="720"/>
        </w:tabs>
        <w:rPr>
          <w:b w:val="0"/>
          <w:color w:val="000000" w:themeColor="text1"/>
        </w:rPr>
      </w:pPr>
      <w:r>
        <w:rPr>
          <w:rFonts w:eastAsia="Tahoma"/>
          <w:color w:val="000000"/>
          <w:lang w:val="de-DE"/>
        </w:rPr>
        <w:t>Deutschland und Österreich</w:t>
      </w:r>
      <w:r>
        <w:rPr>
          <w:rFonts w:eastAsia="Tahoma"/>
          <w:b w:val="0"/>
          <w:bCs w:val="0"/>
          <w:color w:val="000000"/>
          <w:lang w:val="de-DE"/>
        </w:rPr>
        <w:t>.</w:t>
      </w:r>
    </w:p>
    <w:p w14:paraId="3123CA06" w14:textId="77777777" w:rsidR="0050688B" w:rsidRPr="0038341F" w:rsidRDefault="0038341F" w:rsidP="0050688B">
      <w:pPr>
        <w:ind w:left="717"/>
        <w:rPr>
          <w:color w:val="000000" w:themeColor="text1"/>
          <w:lang w:val="de-DE"/>
        </w:rPr>
      </w:pPr>
      <w:r>
        <w:rPr>
          <w:rFonts w:eastAsia="Tahoma"/>
          <w:b/>
          <w:bCs/>
          <w:color w:val="000000"/>
          <w:lang w:val="de-DE"/>
        </w:rPr>
        <w:t>(i)</w:t>
      </w:r>
      <w:r>
        <w:rPr>
          <w:rFonts w:eastAsia="Tahoma"/>
          <w:color w:val="000000"/>
          <w:lang w:val="de-DE"/>
        </w:rPr>
        <w:tab/>
      </w:r>
      <w:r>
        <w:rPr>
          <w:rFonts w:eastAsia="Tahoma"/>
          <w:b/>
          <w:bCs/>
          <w:color w:val="000000"/>
          <w:lang w:val="de-DE"/>
        </w:rPr>
        <w:t>Gewährleistung.</w:t>
      </w:r>
      <w:r>
        <w:rPr>
          <w:rFonts w:eastAsia="Tahoma"/>
          <w:color w:val="000000"/>
          <w:lang w:val="de-DE"/>
        </w:rPr>
        <w:t xml:space="preserve"> Die ordnungsgemäß lizenzierte Software verhält sich im Wesentlichen wie in allen Microsoft-Materialien beschrieben, die der Software beiliegen. Jedoch gewährt Microsoft keine vertragliche Garantie in Bezug auf die Software.</w:t>
      </w:r>
    </w:p>
    <w:p w14:paraId="450A0924" w14:textId="77777777" w:rsidR="0050688B" w:rsidRPr="0038341F" w:rsidRDefault="0038341F" w:rsidP="0050688B">
      <w:pPr>
        <w:ind w:left="717"/>
        <w:rPr>
          <w:color w:val="000000" w:themeColor="text1"/>
          <w:lang w:val="de-DE"/>
        </w:rPr>
      </w:pPr>
      <w:r>
        <w:rPr>
          <w:rFonts w:eastAsia="Tahoma"/>
          <w:b/>
          <w:bCs/>
          <w:color w:val="000000"/>
          <w:lang w:val="de-DE"/>
        </w:rPr>
        <w:t>(ii)</w:t>
      </w:r>
      <w:r>
        <w:rPr>
          <w:rFonts w:eastAsia="Tahoma"/>
          <w:color w:val="000000"/>
          <w:lang w:val="de-DE"/>
        </w:rPr>
        <w:tab/>
      </w:r>
      <w:r>
        <w:rPr>
          <w:rFonts w:eastAsia="Tahoma"/>
          <w:b/>
          <w:bCs/>
          <w:color w:val="000000"/>
          <w:lang w:val="de-DE"/>
        </w:rPr>
        <w:t>Haftungsbeschränkung.</w:t>
      </w:r>
      <w:r>
        <w:rPr>
          <w:rFonts w:eastAsia="Tahoma"/>
          <w:color w:val="000000"/>
          <w:lang w:val="de-DE"/>
        </w:rPr>
        <w:t xml:space="preserve"> Bei Vorsatz, grober Fahrlässigkeit, Ansprüchen nach dem Produkthaftungsgesetz sowie bei Verletzung von Leben, Körper oder Gesundheit haftet Microsoft nach den gesetzlichen Bestimmungen.</w:t>
      </w:r>
    </w:p>
    <w:p w14:paraId="2D0D966D" w14:textId="77777777" w:rsidR="00431D2B" w:rsidRPr="0038341F" w:rsidRDefault="0038341F" w:rsidP="008A2696">
      <w:pPr>
        <w:pStyle w:val="Heading1"/>
        <w:numPr>
          <w:ilvl w:val="0"/>
          <w:numId w:val="0"/>
        </w:numPr>
        <w:tabs>
          <w:tab w:val="left" w:pos="720"/>
        </w:tabs>
        <w:ind w:left="717"/>
        <w:rPr>
          <w:rFonts w:eastAsia="SimSun"/>
          <w:b w:val="0"/>
          <w:color w:val="000000" w:themeColor="text1"/>
          <w:lang w:val="de-DE"/>
        </w:rPr>
      </w:pPr>
      <w:r>
        <w:rPr>
          <w:rFonts w:eastAsia="Tahoma"/>
          <w:b w:val="0"/>
          <w:color w:val="000000"/>
          <w:lang w:val="de-DE"/>
        </w:rPr>
        <w:t>Vorbehaltlich des vorangegangenen Satzes (ii) haftet Microsoft nur dann für leichte Fahrlässigkeit, wenn Microsoft diejenigen wesentlichen Vertragspflichten verletzt, deren Erfüllung die ordnungsgemäße Durchführung dieser Vereinbarung überhaupt erst ermöglicht, deren Verletzung den Zweck dieser Vereinbarung gefährden würde und auf deren Einhaltung eine Partei regelmäßig vertrauen darf (sogenannte „Kardinalpflichten“). In anderen Fällen leichter Fahrlässigkeit haftet Microsoft nicht.</w:t>
      </w:r>
    </w:p>
    <w:p w14:paraId="38805AB2" w14:textId="77777777" w:rsidR="00431D2B" w:rsidRPr="0038341F" w:rsidRDefault="0038341F" w:rsidP="00431D2B">
      <w:pPr>
        <w:widowControl w:val="0"/>
        <w:rPr>
          <w:rFonts w:eastAsia="SimSun"/>
          <w:b/>
          <w:bCs/>
          <w:lang w:val="de-DE"/>
        </w:rPr>
      </w:pPr>
      <w:r w:rsidRPr="0038341F">
        <w:rPr>
          <w:rFonts w:eastAsia="SimSun"/>
          <w:color w:val="000000" w:themeColor="text1"/>
          <w:lang w:val="de-DE"/>
        </w:rPr>
        <w:br w:type="page"/>
      </w:r>
      <w:r w:rsidRPr="0038341F">
        <w:rPr>
          <w:rFonts w:eastAsia="SimSun"/>
          <w:b/>
          <w:bCs/>
          <w:lang w:val="de-DE"/>
        </w:rPr>
        <w:lastRenderedPageBreak/>
        <w:t>*************************************************************************</w:t>
      </w:r>
    </w:p>
    <w:p w14:paraId="2F243775" w14:textId="77777777" w:rsidR="00431D2B" w:rsidRPr="0038341F" w:rsidRDefault="0038341F" w:rsidP="00431D2B">
      <w:pPr>
        <w:pStyle w:val="HeadingWarranty"/>
        <w:widowControl w:val="0"/>
        <w:rPr>
          <w:rFonts w:eastAsia="SimSun"/>
          <w:lang w:val="de-DE"/>
        </w:rPr>
      </w:pPr>
      <w:r>
        <w:rPr>
          <w:rFonts w:eastAsia="Tahoma"/>
          <w:lang w:val="de-DE"/>
        </w:rPr>
        <w:t>BESCHRÄNKTE GARANTIE</w:t>
      </w:r>
    </w:p>
    <w:p w14:paraId="1EE5F12F" w14:textId="77777777" w:rsidR="00B30352" w:rsidRPr="0038341F" w:rsidRDefault="0038341F" w:rsidP="00B30352">
      <w:pPr>
        <w:widowControl w:val="0"/>
        <w:rPr>
          <w:bCs/>
          <w:color w:val="000000"/>
          <w:shd w:val="clear" w:color="auto" w:fill="FFFFFF"/>
          <w:lang w:val="de-DE"/>
        </w:rPr>
      </w:pPr>
      <w:r>
        <w:rPr>
          <w:rFonts w:eastAsia="Tahoma"/>
          <w:bCs/>
          <w:color w:val="000000"/>
          <w:shd w:val="clear" w:color="auto" w:fill="FFFFFF"/>
          <w:lang w:val="de-DE"/>
        </w:rPr>
        <w:t>Microsoft garantiert, dass ordnungsgemäß lizenzierte Software im Wesentlichen wie in den Microsoft-Materialien, die der Software beiliegen, beschrieben arbeitet. Diese beschränkte Garantie deckt keine von Ihnen verursachten Probleme ab, die entstehen, wenn Sie es versäumen, Anweisungen zu befolgen, oder die durch Ereignisse jenseits der zumutbaren Einflussnahme von Microsoft verursacht werden. Die beschränkte Garantie beginnt, wenn der erste Nutzer die Software erwirbt, und ist ein Jahr lang gültig. Alle Ergänzungen, Aktualisierungen oder Ersatzsoftware, die Sie möglicherweise während dieses Jahres von Microsoft erhalten, fallen ebenfalls unter die Garantie, jedoch nur für den Rest dieses einjährigen Zeitraums oder für 30 Tage, wobei der jeweils längere Zeitraum maßgeblich ist. Durch Übertragung der Software wird die beschränkte Garantie nicht verlängert.</w:t>
      </w:r>
    </w:p>
    <w:p w14:paraId="76625238" w14:textId="77777777" w:rsidR="00B30352" w:rsidRPr="0038341F" w:rsidRDefault="0038341F" w:rsidP="00B30352">
      <w:pPr>
        <w:widowControl w:val="0"/>
        <w:rPr>
          <w:b/>
          <w:bCs/>
          <w:color w:val="000000"/>
          <w:shd w:val="clear" w:color="auto" w:fill="FFFFFF"/>
          <w:lang w:val="de-DE"/>
        </w:rPr>
      </w:pPr>
      <w:r>
        <w:rPr>
          <w:rFonts w:eastAsia="Tahoma"/>
          <w:bCs/>
          <w:color w:val="000000"/>
          <w:shd w:val="clear" w:color="auto" w:fill="FFFFFF"/>
          <w:lang w:val="de-DE"/>
        </w:rPr>
        <w:t xml:space="preserve">Microsoft gewährt keine anderen ausdrücklichen Gewährleistungen oder Garantien. </w:t>
      </w:r>
      <w:r>
        <w:rPr>
          <w:rFonts w:eastAsia="Tahoma"/>
          <w:b/>
          <w:bCs/>
          <w:color w:val="000000"/>
          <w:shd w:val="clear" w:color="auto" w:fill="FFFFFF"/>
          <w:lang w:val="de-DE"/>
        </w:rPr>
        <w:t>Microsoft schließt alle Implied Warranties und Implied Guarantees (konkludente Gewährleistungen und Garantien) aus, einschließlich solche der Handelsüblichkeit, Eignung für einen bestimmten Zweck und der Nichtverletzung von Rechten Dritter. Wenn der Ausschluss von Implied Warranties nach Ihrem örtlich anwendbaren Recht nicht zulässig ist, dann gelten Implied Warranties oder Implied Guarantees (konkludente Gewährleistungen oder Garantien) nur während der Laufzeit der beschränkten Garantie und sind so weit beschränkt, wie es Ihr örtlich anwendbares Recht zulässt. Wenn Ihr örtlich anwendbares Recht eine längere Laufzeit der beschränkten Garantie vorsieht, dann gilt ungeachtet dieser Vereinbarung die längere Laufzeit, Sie können jedoch nur die in dieser Vereinbarung vorgesehene Abhilfe beanspruchen.</w:t>
      </w:r>
    </w:p>
    <w:p w14:paraId="34F91D63" w14:textId="77777777" w:rsidR="00B30352" w:rsidRPr="0038341F" w:rsidRDefault="0038341F" w:rsidP="00B30352">
      <w:pPr>
        <w:widowControl w:val="0"/>
        <w:rPr>
          <w:bCs/>
          <w:color w:val="000000"/>
          <w:shd w:val="clear" w:color="auto" w:fill="FFFFFF"/>
          <w:lang w:val="de-DE"/>
        </w:rPr>
      </w:pPr>
      <w:r>
        <w:rPr>
          <w:rFonts w:eastAsia="Tahoma"/>
          <w:bCs/>
          <w:color w:val="000000"/>
          <w:shd w:val="clear" w:color="auto" w:fill="FFFFFF"/>
          <w:lang w:val="de-DE"/>
        </w:rPr>
        <w:t xml:space="preserve">Wenn Microsoft seine beschränkte Garantie verletzt, wird Microsoft nach eigener Wahl entweder (i) die Software kostenlos nachbessern oder nachliefern oder (ii) die Rückgabe der Software (oder, nach Wahl von Microsoft, des Geräts der Marke Microsoft, auf dem die Software vorinstalliert wurde) gegen Rückerstattung des ggf. gezahlten Betrags akzeptieren. </w:t>
      </w:r>
      <w:r>
        <w:rPr>
          <w:rFonts w:eastAsia="Tahoma"/>
          <w:b/>
          <w:bCs/>
          <w:color w:val="000000"/>
          <w:shd w:val="clear" w:color="auto" w:fill="FFFFFF"/>
          <w:lang w:val="de-DE"/>
        </w:rPr>
        <w:t>Dies sind Ihre einzigen Abhilfeansprüche bei Verletzung der Garantie.</w:t>
      </w:r>
      <w:r>
        <w:rPr>
          <w:rFonts w:eastAsia="Tahoma"/>
          <w:color w:val="000000"/>
          <w:shd w:val="clear" w:color="auto" w:fill="FFFFFF"/>
          <w:lang w:val="de-DE"/>
        </w:rPr>
        <w:t xml:space="preserve"> Diese beschränkte Garantie gewährt Ihnen bestimmte Rechte; möglicherweise stehen Ihnen je nach Bundesstaat oder Land weitergehende Rechte zu.</w:t>
      </w:r>
    </w:p>
    <w:p w14:paraId="3C615CB1" w14:textId="0B9960F7" w:rsidR="00173A00" w:rsidRPr="0038341F" w:rsidRDefault="0038341F" w:rsidP="00B30352">
      <w:pPr>
        <w:rPr>
          <w:color w:val="000000"/>
          <w:shd w:val="clear" w:color="auto" w:fill="FFFFFF"/>
          <w:lang w:val="de-DE"/>
        </w:rPr>
      </w:pPr>
      <w:r>
        <w:rPr>
          <w:rFonts w:eastAsia="Tahoma"/>
          <w:color w:val="000000"/>
          <w:shd w:val="clear" w:color="auto" w:fill="FFFFFF"/>
          <w:lang w:val="de-DE"/>
        </w:rPr>
        <w:t>Abgesehen von Nachbesserungen, Nachlieferungen oder Kaufpreiserstattungen, die Microsoft möglicherweise leistet, können Sie auf der Grundlage dieser beschränkten Garantie, auf der Grundlage eines anderen Teils dieser Vereinbarung oder auf einer anderen Rechtsgrundlage keinen Schadenersatz oder andere Abhilfeansprüche geltend machen, insbesondere keinen Schadenersatz für entgangenen Gewinn oder direkte Schäden, Folgeschäden, spezielle, indirekte oder zufällige Schäden. Die Schadenersatzausschlüsse und Beschränkungen der Abhilfeansprüche in dieser Vereinbarung gelten auch, wenn die Nachbesserung, Nachlieferung oder Erstattung des Kaufpreises Sie nicht vollständig für Verluste entschädigt, wenn Microsoft von der Möglichkeit der Schäden gewusst hat oder hätte wissen müssen oder wenn der Abhilfeanspruch seinen wesentlichen Zweck verfehlt. Einige Staaten und Länder gestatten den Ausschluss oder die Beschränkung von zufälligen, Folge- oder sonstigen Schäden nicht. Daher gelten die obigen Beschränkungen und Ausschlüsse möglicherweise nicht für Sie. Wenn Ihr örtlich anwendbares Recht es Ihnen gestattet, von Microsoft Schadenersatz zu erhalten, obwohl selbiges durch diese Vereinbarung ausgeschlossen ist, können Sie nicht mehr als den für die Software bezahlten Preis als Ersatz erhalten (oder maximal 50 US-Dollar, wenn Sie die Software kostenlos erhalten haben).</w:t>
      </w:r>
    </w:p>
    <w:p w14:paraId="1629ADFD" w14:textId="5804769C" w:rsidR="00BF2849" w:rsidRPr="0038341F" w:rsidRDefault="00BF2849" w:rsidP="00B30352">
      <w:pPr>
        <w:rPr>
          <w:color w:val="000000"/>
          <w:shd w:val="clear" w:color="auto" w:fill="FFFFFF"/>
          <w:lang w:val="de-DE"/>
        </w:rPr>
      </w:pPr>
    </w:p>
    <w:p w14:paraId="4A6CD547" w14:textId="77777777" w:rsidR="00BF2849" w:rsidRPr="0038341F" w:rsidRDefault="0038341F" w:rsidP="00BF2849">
      <w:pPr>
        <w:jc w:val="center"/>
        <w:rPr>
          <w:b/>
          <w:color w:val="000000"/>
          <w:u w:val="single"/>
          <w:shd w:val="clear" w:color="auto" w:fill="FFFFFF"/>
          <w:lang w:val="de-DE"/>
        </w:rPr>
      </w:pPr>
      <w:r>
        <w:rPr>
          <w:rFonts w:eastAsia="Tahoma"/>
          <w:b/>
          <w:bCs/>
          <w:color w:val="000000"/>
          <w:u w:val="single"/>
          <w:shd w:val="clear" w:color="auto" w:fill="FFFFFF"/>
          <w:lang w:val="de-DE"/>
        </w:rPr>
        <w:t>Garantieverfahren</w:t>
      </w:r>
    </w:p>
    <w:p w14:paraId="3E472540" w14:textId="12F4539D" w:rsidR="00BF2849" w:rsidRPr="0038341F" w:rsidRDefault="0038341F" w:rsidP="00BF2849">
      <w:pPr>
        <w:rPr>
          <w:color w:val="000000"/>
          <w:shd w:val="clear" w:color="auto" w:fill="FFFFFF"/>
          <w:lang w:val="de-DE"/>
        </w:rPr>
      </w:pPr>
      <w:r>
        <w:rPr>
          <w:rFonts w:eastAsia="Tahoma"/>
          <w:color w:val="000000"/>
          <w:shd w:val="clear" w:color="auto" w:fill="FFFFFF"/>
          <w:lang w:val="de-DE"/>
        </w:rPr>
        <w:t>Für Garantieleistungen oder eine Rückerstattung des Kaufpreises müssen Sie eine Kopie Ihres Kaufnachweises vorlegen und die Rückgaberichtlinien von Microsoft einhalten. Diese verlangen möglicherweise von Ihnen, die Software zu deinstallieren und an Microsoft zurückzugeben oder die Software mit dem gesamten Gerät der Marke Microsoft, auf dem die Software installiert ist, zurückzugeben; das Echtheitszertifikat (Certificate of Authenticity, COA) mitsamt Product Key, sofern mit Ihrem Gerät mitgeliefert, muss befestigt bleiben.</w:t>
      </w:r>
    </w:p>
    <w:p w14:paraId="1D7E8CE9" w14:textId="60BBE21F" w:rsidR="001E7003" w:rsidRPr="0038341F" w:rsidRDefault="0038341F" w:rsidP="00BF2849">
      <w:pPr>
        <w:rPr>
          <w:color w:val="000000"/>
          <w:shd w:val="clear" w:color="auto" w:fill="FFFFFF"/>
          <w:lang w:val="de-DE"/>
        </w:rPr>
      </w:pPr>
      <w:r>
        <w:rPr>
          <w:rFonts w:eastAsia="Tahoma"/>
          <w:color w:val="000000"/>
          <w:shd w:val="clear" w:color="auto" w:fill="FFFFFF"/>
          <w:lang w:val="de-DE"/>
        </w:rPr>
        <w:t xml:space="preserve">1.        </w:t>
      </w:r>
      <w:r>
        <w:rPr>
          <w:rFonts w:eastAsia="Tahoma"/>
          <w:color w:val="000000"/>
          <w:u w:val="single"/>
          <w:shd w:val="clear" w:color="auto" w:fill="FFFFFF"/>
          <w:lang w:val="de-DE"/>
        </w:rPr>
        <w:t>Vereinigte Staaten und Kanada.</w:t>
      </w:r>
      <w:r>
        <w:rPr>
          <w:rFonts w:eastAsia="Tahoma"/>
          <w:color w:val="000000"/>
          <w:shd w:val="clear" w:color="auto" w:fill="FFFFFF"/>
          <w:lang w:val="de-DE"/>
        </w:rPr>
        <w:t xml:space="preserve"> Für Leistungen unter der beschränkten Garantie oder Informationen zum Erhalt einer Erstattung für Software, die in den Vereinigten Staaten oder Kanada erworben wurde, wenden Sie sich telefonisch an (800) MICROSOFT, per Post an Microsoft Customer Service and Support, One Microsoft Way, Redmond, WA 98052-6399 oder besuchen Sie (aka.ms/nareturns).</w:t>
      </w:r>
    </w:p>
    <w:p w14:paraId="22DE9D00" w14:textId="2750371D" w:rsidR="00B44EBC" w:rsidRPr="0038341F" w:rsidRDefault="0038341F" w:rsidP="00BF2849">
      <w:pPr>
        <w:rPr>
          <w:color w:val="000000"/>
          <w:shd w:val="clear" w:color="auto" w:fill="FFFFFF"/>
          <w:lang w:val="de-DE"/>
        </w:rPr>
      </w:pPr>
      <w:r>
        <w:rPr>
          <w:rFonts w:eastAsia="Tahoma"/>
          <w:color w:val="000000"/>
          <w:shd w:val="clear" w:color="auto" w:fill="FFFFFF"/>
          <w:lang w:val="de-DE"/>
        </w:rPr>
        <w:t xml:space="preserve">2.        </w:t>
      </w:r>
      <w:r>
        <w:rPr>
          <w:rFonts w:eastAsia="Tahoma"/>
          <w:color w:val="000000"/>
          <w:u w:val="single"/>
          <w:shd w:val="clear" w:color="auto" w:fill="FFFFFF"/>
          <w:lang w:val="de-DE"/>
        </w:rPr>
        <w:t>Europa, Naher Osten und Afrika.</w:t>
      </w:r>
      <w:r>
        <w:rPr>
          <w:rFonts w:eastAsia="Tahoma"/>
          <w:color w:val="000000"/>
          <w:shd w:val="clear" w:color="auto" w:fill="FFFFFF"/>
          <w:lang w:val="de-DE"/>
        </w:rPr>
        <w:t xml:space="preserve"> Wenn Sie die Software in Europa, im Nahen Osten oder in Afrika erworben haben, gewährt Microsoft Ireland Operations Limited die beschränkte Garantie. Um einen Anspruch unter der beschränkten Garantie geltend zu machen, wenden Sie sich entweder an Microsoft Ireland Operations Limited, Customer Care Centre, Atrium Building Block B, Carmanhall Road, Sandyford Industrial Estate, Dublin 18, Ireland, oder an das verbundene Unternehmen von Microsoft in Ihrem Land (aka.ms/msoffices).</w:t>
      </w:r>
    </w:p>
    <w:p w14:paraId="4B5F29A1" w14:textId="1BA30A37" w:rsidR="007100B4" w:rsidRPr="0038341F" w:rsidRDefault="0038341F" w:rsidP="00BF2849">
      <w:pPr>
        <w:rPr>
          <w:color w:val="000000"/>
          <w:shd w:val="clear" w:color="auto" w:fill="FFFFFF"/>
          <w:lang w:val="de-DE"/>
        </w:rPr>
      </w:pPr>
      <w:r>
        <w:rPr>
          <w:rFonts w:eastAsia="Tahoma"/>
          <w:color w:val="000000"/>
          <w:shd w:val="clear" w:color="auto" w:fill="FFFFFF"/>
          <w:lang w:val="de-DE"/>
        </w:rPr>
        <w:lastRenderedPageBreak/>
        <w:t xml:space="preserve">3.        </w:t>
      </w:r>
      <w:r>
        <w:rPr>
          <w:rFonts w:eastAsia="Tahoma"/>
          <w:color w:val="000000"/>
          <w:u w:val="single"/>
          <w:shd w:val="clear" w:color="auto" w:fill="FFFFFF"/>
          <w:lang w:val="de-DE"/>
        </w:rPr>
        <w:t>Australien.</w:t>
      </w:r>
      <w:r>
        <w:rPr>
          <w:rFonts w:eastAsia="Tahoma"/>
          <w:color w:val="000000"/>
          <w:shd w:val="clear" w:color="auto" w:fill="FFFFFF"/>
          <w:lang w:val="de-DE"/>
        </w:rPr>
        <w:t xml:space="preserve"> Wenn Sie die Software in Australien erworben haben, wenden Sie sich unter 13 20 58 oder Microsoft Pty Ltd, 1 Epping Road, North Ryde NSW 2113 Australia an Microsoft, um einen Anspruch geltend zu machen.</w:t>
      </w:r>
    </w:p>
    <w:p w14:paraId="58CBB147" w14:textId="4A559800" w:rsidR="00951A38" w:rsidRPr="0038341F" w:rsidRDefault="0038341F" w:rsidP="00BF2849">
      <w:pPr>
        <w:rPr>
          <w:color w:val="000000"/>
          <w:shd w:val="clear" w:color="auto" w:fill="FFFFFF"/>
          <w:lang w:val="de-DE"/>
        </w:rPr>
      </w:pPr>
      <w:r>
        <w:rPr>
          <w:rFonts w:eastAsia="Tahoma"/>
          <w:color w:val="000000"/>
          <w:shd w:val="clear" w:color="auto" w:fill="FFFFFF"/>
          <w:lang w:val="de-DE"/>
        </w:rPr>
        <w:t>4.</w:t>
      </w:r>
      <w:r>
        <w:rPr>
          <w:rFonts w:eastAsia="Tahoma"/>
          <w:color w:val="000000"/>
          <w:shd w:val="clear" w:color="auto" w:fill="FFFFFF"/>
          <w:lang w:val="de-DE"/>
        </w:rPr>
        <w:tab/>
      </w:r>
      <w:r>
        <w:rPr>
          <w:rFonts w:eastAsia="Tahoma"/>
          <w:color w:val="000000"/>
          <w:u w:val="single"/>
          <w:shd w:val="clear" w:color="auto" w:fill="FFFFFF"/>
          <w:lang w:val="de-DE"/>
        </w:rPr>
        <w:t>Andere Länder</w:t>
      </w:r>
      <w:r>
        <w:rPr>
          <w:rFonts w:eastAsia="Tahoma"/>
          <w:color w:val="000000"/>
          <w:shd w:val="clear" w:color="auto" w:fill="FFFFFF"/>
          <w:lang w:val="de-DE"/>
        </w:rPr>
        <w:t>. Wenn Sie die Software in einem anderen Land erworben haben, wenden Sie sich an das verbundene Unternehmen von Microsoft in Ihrem Land (unter aka.ms/msoffices).</w:t>
      </w:r>
    </w:p>
    <w:p w14:paraId="50B5198E" w14:textId="4EA24975" w:rsidR="006C7317" w:rsidRPr="0038341F" w:rsidRDefault="006C7317" w:rsidP="00BF2849">
      <w:pPr>
        <w:rPr>
          <w:color w:val="000000"/>
          <w:shd w:val="clear" w:color="auto" w:fill="FFFFFF"/>
          <w:lang w:val="de-DE"/>
        </w:rPr>
      </w:pPr>
    </w:p>
    <w:p w14:paraId="42E8E46C" w14:textId="454F6449" w:rsidR="006C7317" w:rsidRPr="00A11281" w:rsidRDefault="0038341F" w:rsidP="00BF2849">
      <w:r w:rsidRPr="00A11281">
        <w:rPr>
          <w:color w:val="000000"/>
          <w:shd w:val="clear" w:color="auto" w:fill="FFFFFF"/>
        </w:rPr>
        <w:t>E</w:t>
      </w:r>
      <w:r w:rsidR="00A11281">
        <w:rPr>
          <w:color w:val="000000"/>
          <w:shd w:val="clear" w:color="auto" w:fill="FFFFFF"/>
        </w:rPr>
        <w:t>ULAID: VS_2019_DEU</w:t>
      </w:r>
      <w:r w:rsidRPr="00A11281">
        <w:rPr>
          <w:color w:val="000000"/>
          <w:shd w:val="clear" w:color="auto" w:fill="FFFFFF"/>
        </w:rPr>
        <w:t>.1</w:t>
      </w:r>
      <w:r w:rsidR="00A11281">
        <w:rPr>
          <w:color w:val="000000"/>
          <w:shd w:val="clear" w:color="auto" w:fill="FFFFFF"/>
        </w:rPr>
        <w:t>031</w:t>
      </w:r>
    </w:p>
    <w:sectPr w:rsidR="006C7317" w:rsidRPr="00A11281"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2F40" w14:textId="77777777" w:rsidR="00174323" w:rsidRDefault="00174323" w:rsidP="00A11281">
      <w:pPr>
        <w:spacing w:before="0" w:after="0"/>
      </w:pPr>
      <w:r>
        <w:separator/>
      </w:r>
    </w:p>
  </w:endnote>
  <w:endnote w:type="continuationSeparator" w:id="0">
    <w:p w14:paraId="20D4FF33" w14:textId="77777777" w:rsidR="00174323" w:rsidRDefault="00174323" w:rsidP="00A112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2499" w14:textId="77777777" w:rsidR="00174323" w:rsidRDefault="00174323" w:rsidP="00A11281">
      <w:pPr>
        <w:spacing w:before="0" w:after="0"/>
      </w:pPr>
      <w:r>
        <w:separator/>
      </w:r>
    </w:p>
  </w:footnote>
  <w:footnote w:type="continuationSeparator" w:id="0">
    <w:p w14:paraId="0851092F" w14:textId="77777777" w:rsidR="00174323" w:rsidRDefault="00174323" w:rsidP="00A112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489C0FCA">
      <w:numFmt w:val="bullet"/>
      <w:lvlText w:val=""/>
      <w:lvlJc w:val="left"/>
      <w:pPr>
        <w:ind w:left="720" w:hanging="360"/>
      </w:pPr>
      <w:rPr>
        <w:rFonts w:ascii="Symbol" w:eastAsia="MS Mincho" w:hAnsi="Symbol" w:hint="default"/>
      </w:rPr>
    </w:lvl>
    <w:lvl w:ilvl="1" w:tplc="35546980" w:tentative="1">
      <w:start w:val="1"/>
      <w:numFmt w:val="bullet"/>
      <w:lvlText w:val="o"/>
      <w:lvlJc w:val="left"/>
      <w:pPr>
        <w:ind w:left="1440" w:hanging="360"/>
      </w:pPr>
      <w:rPr>
        <w:rFonts w:ascii="Courier New" w:hAnsi="Courier New" w:hint="default"/>
      </w:rPr>
    </w:lvl>
    <w:lvl w:ilvl="2" w:tplc="B74460BE" w:tentative="1">
      <w:start w:val="1"/>
      <w:numFmt w:val="bullet"/>
      <w:lvlText w:val=""/>
      <w:lvlJc w:val="left"/>
      <w:pPr>
        <w:ind w:left="2160" w:hanging="360"/>
      </w:pPr>
      <w:rPr>
        <w:rFonts w:ascii="Wingdings" w:hAnsi="Wingdings" w:hint="default"/>
      </w:rPr>
    </w:lvl>
    <w:lvl w:ilvl="3" w:tplc="B0DA2828" w:tentative="1">
      <w:start w:val="1"/>
      <w:numFmt w:val="bullet"/>
      <w:lvlText w:val=""/>
      <w:lvlJc w:val="left"/>
      <w:pPr>
        <w:ind w:left="2880" w:hanging="360"/>
      </w:pPr>
      <w:rPr>
        <w:rFonts w:ascii="Symbol" w:hAnsi="Symbol" w:hint="default"/>
      </w:rPr>
    </w:lvl>
    <w:lvl w:ilvl="4" w:tplc="DC3ECF42" w:tentative="1">
      <w:start w:val="1"/>
      <w:numFmt w:val="bullet"/>
      <w:lvlText w:val="o"/>
      <w:lvlJc w:val="left"/>
      <w:pPr>
        <w:ind w:left="3600" w:hanging="360"/>
      </w:pPr>
      <w:rPr>
        <w:rFonts w:ascii="Courier New" w:hAnsi="Courier New" w:hint="default"/>
      </w:rPr>
    </w:lvl>
    <w:lvl w:ilvl="5" w:tplc="CB0AB512" w:tentative="1">
      <w:start w:val="1"/>
      <w:numFmt w:val="bullet"/>
      <w:lvlText w:val=""/>
      <w:lvlJc w:val="left"/>
      <w:pPr>
        <w:ind w:left="4320" w:hanging="360"/>
      </w:pPr>
      <w:rPr>
        <w:rFonts w:ascii="Wingdings" w:hAnsi="Wingdings" w:hint="default"/>
      </w:rPr>
    </w:lvl>
    <w:lvl w:ilvl="6" w:tplc="052A9424" w:tentative="1">
      <w:start w:val="1"/>
      <w:numFmt w:val="bullet"/>
      <w:lvlText w:val=""/>
      <w:lvlJc w:val="left"/>
      <w:pPr>
        <w:ind w:left="5040" w:hanging="360"/>
      </w:pPr>
      <w:rPr>
        <w:rFonts w:ascii="Symbol" w:hAnsi="Symbol" w:hint="default"/>
      </w:rPr>
    </w:lvl>
    <w:lvl w:ilvl="7" w:tplc="B366F65C" w:tentative="1">
      <w:start w:val="1"/>
      <w:numFmt w:val="bullet"/>
      <w:lvlText w:val="o"/>
      <w:lvlJc w:val="left"/>
      <w:pPr>
        <w:ind w:left="5760" w:hanging="360"/>
      </w:pPr>
      <w:rPr>
        <w:rFonts w:ascii="Courier New" w:hAnsi="Courier New" w:hint="default"/>
      </w:rPr>
    </w:lvl>
    <w:lvl w:ilvl="8" w:tplc="DFDEC58C"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0400E5E2">
      <w:start w:val="1"/>
      <w:numFmt w:val="bullet"/>
      <w:pStyle w:val="Bullet2"/>
      <w:lvlText w:val=""/>
      <w:lvlJc w:val="left"/>
      <w:pPr>
        <w:tabs>
          <w:tab w:val="num" w:pos="720"/>
        </w:tabs>
        <w:ind w:left="720" w:hanging="363"/>
      </w:pPr>
      <w:rPr>
        <w:rFonts w:ascii="Symbol" w:hAnsi="Symbol" w:hint="default"/>
      </w:rPr>
    </w:lvl>
    <w:lvl w:ilvl="1" w:tplc="B92EAAEC">
      <w:start w:val="1"/>
      <w:numFmt w:val="bullet"/>
      <w:lvlText w:val="o"/>
      <w:lvlJc w:val="left"/>
      <w:pPr>
        <w:tabs>
          <w:tab w:val="num" w:pos="1440"/>
        </w:tabs>
        <w:ind w:left="1440" w:hanging="360"/>
      </w:pPr>
      <w:rPr>
        <w:rFonts w:ascii="Courier New" w:hAnsi="Courier New" w:hint="default"/>
      </w:rPr>
    </w:lvl>
    <w:lvl w:ilvl="2" w:tplc="BF8AB4C0">
      <w:start w:val="1"/>
      <w:numFmt w:val="bullet"/>
      <w:lvlText w:val=""/>
      <w:lvlJc w:val="left"/>
      <w:pPr>
        <w:tabs>
          <w:tab w:val="num" w:pos="2160"/>
        </w:tabs>
        <w:ind w:left="2160" w:hanging="360"/>
      </w:pPr>
      <w:rPr>
        <w:rFonts w:ascii="Wingdings" w:hAnsi="Wingdings" w:hint="default"/>
      </w:rPr>
    </w:lvl>
    <w:lvl w:ilvl="3" w:tplc="9DCE54EE">
      <w:start w:val="1"/>
      <w:numFmt w:val="bullet"/>
      <w:lvlText w:val=""/>
      <w:lvlJc w:val="left"/>
      <w:pPr>
        <w:tabs>
          <w:tab w:val="num" w:pos="2880"/>
        </w:tabs>
        <w:ind w:left="2880" w:hanging="360"/>
      </w:pPr>
      <w:rPr>
        <w:rFonts w:ascii="Symbol" w:hAnsi="Symbol" w:hint="default"/>
      </w:rPr>
    </w:lvl>
    <w:lvl w:ilvl="4" w:tplc="80049986">
      <w:start w:val="1"/>
      <w:numFmt w:val="bullet"/>
      <w:lvlText w:val="o"/>
      <w:lvlJc w:val="left"/>
      <w:pPr>
        <w:tabs>
          <w:tab w:val="num" w:pos="3600"/>
        </w:tabs>
        <w:ind w:left="3600" w:hanging="360"/>
      </w:pPr>
      <w:rPr>
        <w:rFonts w:ascii="Courier New" w:hAnsi="Courier New" w:hint="default"/>
      </w:rPr>
    </w:lvl>
    <w:lvl w:ilvl="5" w:tplc="13AACE3E">
      <w:start w:val="1"/>
      <w:numFmt w:val="bullet"/>
      <w:lvlText w:val=""/>
      <w:lvlJc w:val="left"/>
      <w:pPr>
        <w:tabs>
          <w:tab w:val="num" w:pos="4320"/>
        </w:tabs>
        <w:ind w:left="4320" w:hanging="360"/>
      </w:pPr>
      <w:rPr>
        <w:rFonts w:ascii="Wingdings" w:hAnsi="Wingdings" w:hint="default"/>
      </w:rPr>
    </w:lvl>
    <w:lvl w:ilvl="6" w:tplc="D5BE56E4">
      <w:start w:val="1"/>
      <w:numFmt w:val="bullet"/>
      <w:lvlText w:val=""/>
      <w:lvlJc w:val="left"/>
      <w:pPr>
        <w:tabs>
          <w:tab w:val="num" w:pos="5040"/>
        </w:tabs>
        <w:ind w:left="5040" w:hanging="360"/>
      </w:pPr>
      <w:rPr>
        <w:rFonts w:ascii="Symbol" w:hAnsi="Symbol" w:hint="default"/>
      </w:rPr>
    </w:lvl>
    <w:lvl w:ilvl="7" w:tplc="D6A077E6">
      <w:start w:val="1"/>
      <w:numFmt w:val="bullet"/>
      <w:lvlText w:val="o"/>
      <w:lvlJc w:val="left"/>
      <w:pPr>
        <w:tabs>
          <w:tab w:val="num" w:pos="5760"/>
        </w:tabs>
        <w:ind w:left="5760" w:hanging="360"/>
      </w:pPr>
      <w:rPr>
        <w:rFonts w:ascii="Courier New" w:hAnsi="Courier New" w:hint="default"/>
      </w:rPr>
    </w:lvl>
    <w:lvl w:ilvl="8" w:tplc="2D5681F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92FC459C">
      <w:start w:val="1"/>
      <w:numFmt w:val="decimal"/>
      <w:lvlText w:val="%1."/>
      <w:lvlJc w:val="left"/>
      <w:pPr>
        <w:ind w:left="720" w:hanging="360"/>
      </w:pPr>
      <w:rPr>
        <w:rFonts w:cs="Times New Roman" w:hint="default"/>
      </w:rPr>
    </w:lvl>
    <w:lvl w:ilvl="1" w:tplc="F85C7ED2" w:tentative="1">
      <w:start w:val="1"/>
      <w:numFmt w:val="lowerLetter"/>
      <w:lvlText w:val="%2."/>
      <w:lvlJc w:val="left"/>
      <w:pPr>
        <w:ind w:left="1440" w:hanging="360"/>
      </w:pPr>
      <w:rPr>
        <w:rFonts w:cs="Times New Roman"/>
      </w:rPr>
    </w:lvl>
    <w:lvl w:ilvl="2" w:tplc="B93CA880">
      <w:start w:val="1"/>
      <w:numFmt w:val="lowerRoman"/>
      <w:lvlText w:val="%3."/>
      <w:lvlJc w:val="right"/>
      <w:pPr>
        <w:ind w:left="2160" w:hanging="180"/>
      </w:pPr>
      <w:rPr>
        <w:rFonts w:cs="Times New Roman"/>
      </w:rPr>
    </w:lvl>
    <w:lvl w:ilvl="3" w:tplc="A32C396E" w:tentative="1">
      <w:start w:val="1"/>
      <w:numFmt w:val="decimal"/>
      <w:lvlText w:val="%4."/>
      <w:lvlJc w:val="left"/>
      <w:pPr>
        <w:ind w:left="2880" w:hanging="360"/>
      </w:pPr>
      <w:rPr>
        <w:rFonts w:cs="Times New Roman"/>
      </w:rPr>
    </w:lvl>
    <w:lvl w:ilvl="4" w:tplc="BC102D80" w:tentative="1">
      <w:start w:val="1"/>
      <w:numFmt w:val="lowerLetter"/>
      <w:lvlText w:val="%5."/>
      <w:lvlJc w:val="left"/>
      <w:pPr>
        <w:ind w:left="3600" w:hanging="360"/>
      </w:pPr>
      <w:rPr>
        <w:rFonts w:cs="Times New Roman"/>
      </w:rPr>
    </w:lvl>
    <w:lvl w:ilvl="5" w:tplc="F4B6715E" w:tentative="1">
      <w:start w:val="1"/>
      <w:numFmt w:val="lowerRoman"/>
      <w:lvlText w:val="%6."/>
      <w:lvlJc w:val="right"/>
      <w:pPr>
        <w:ind w:left="4320" w:hanging="180"/>
      </w:pPr>
      <w:rPr>
        <w:rFonts w:cs="Times New Roman"/>
      </w:rPr>
    </w:lvl>
    <w:lvl w:ilvl="6" w:tplc="9BB61E06" w:tentative="1">
      <w:start w:val="1"/>
      <w:numFmt w:val="decimal"/>
      <w:lvlText w:val="%7."/>
      <w:lvlJc w:val="left"/>
      <w:pPr>
        <w:ind w:left="5040" w:hanging="360"/>
      </w:pPr>
      <w:rPr>
        <w:rFonts w:cs="Times New Roman"/>
      </w:rPr>
    </w:lvl>
    <w:lvl w:ilvl="7" w:tplc="38966406" w:tentative="1">
      <w:start w:val="1"/>
      <w:numFmt w:val="lowerLetter"/>
      <w:lvlText w:val="%8."/>
      <w:lvlJc w:val="left"/>
      <w:pPr>
        <w:ind w:left="5760" w:hanging="360"/>
      </w:pPr>
      <w:rPr>
        <w:rFonts w:cs="Times New Roman"/>
      </w:rPr>
    </w:lvl>
    <w:lvl w:ilvl="8" w:tplc="B64ABE94"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BB125240">
      <w:start w:val="1"/>
      <w:numFmt w:val="bullet"/>
      <w:pStyle w:val="Bullet4"/>
      <w:lvlText w:val=""/>
      <w:lvlJc w:val="left"/>
      <w:pPr>
        <w:tabs>
          <w:tab w:val="num" w:pos="1080"/>
        </w:tabs>
        <w:ind w:left="1078" w:hanging="358"/>
      </w:pPr>
      <w:rPr>
        <w:rFonts w:ascii="Symbol" w:hAnsi="Symbol" w:hint="default"/>
      </w:rPr>
    </w:lvl>
    <w:lvl w:ilvl="1" w:tplc="CECE5BB2">
      <w:start w:val="1"/>
      <w:numFmt w:val="bullet"/>
      <w:lvlText w:val="o"/>
      <w:lvlJc w:val="left"/>
      <w:pPr>
        <w:tabs>
          <w:tab w:val="num" w:pos="1083"/>
        </w:tabs>
        <w:ind w:left="1083" w:hanging="360"/>
      </w:pPr>
      <w:rPr>
        <w:rFonts w:ascii="Courier New" w:hAnsi="Courier New" w:hint="default"/>
      </w:rPr>
    </w:lvl>
    <w:lvl w:ilvl="2" w:tplc="3B881C9A">
      <w:start w:val="1"/>
      <w:numFmt w:val="bullet"/>
      <w:lvlText w:val=""/>
      <w:lvlJc w:val="left"/>
      <w:pPr>
        <w:tabs>
          <w:tab w:val="num" w:pos="1803"/>
        </w:tabs>
        <w:ind w:left="1803" w:hanging="360"/>
      </w:pPr>
      <w:rPr>
        <w:rFonts w:ascii="Wingdings" w:hAnsi="Wingdings" w:hint="default"/>
      </w:rPr>
    </w:lvl>
    <w:lvl w:ilvl="3" w:tplc="C42424D0">
      <w:start w:val="1"/>
      <w:numFmt w:val="bullet"/>
      <w:lvlText w:val=""/>
      <w:lvlJc w:val="left"/>
      <w:pPr>
        <w:tabs>
          <w:tab w:val="num" w:pos="2523"/>
        </w:tabs>
        <w:ind w:left="2523" w:hanging="360"/>
      </w:pPr>
      <w:rPr>
        <w:rFonts w:ascii="Symbol" w:hAnsi="Symbol" w:hint="default"/>
      </w:rPr>
    </w:lvl>
    <w:lvl w:ilvl="4" w:tplc="CCE86DE2">
      <w:start w:val="1"/>
      <w:numFmt w:val="bullet"/>
      <w:lvlText w:val="o"/>
      <w:lvlJc w:val="left"/>
      <w:pPr>
        <w:tabs>
          <w:tab w:val="num" w:pos="3243"/>
        </w:tabs>
        <w:ind w:left="3243" w:hanging="360"/>
      </w:pPr>
      <w:rPr>
        <w:rFonts w:ascii="Courier New" w:hAnsi="Courier New" w:hint="default"/>
      </w:rPr>
    </w:lvl>
    <w:lvl w:ilvl="5" w:tplc="E344340A">
      <w:start w:val="1"/>
      <w:numFmt w:val="bullet"/>
      <w:lvlText w:val=""/>
      <w:lvlJc w:val="left"/>
      <w:pPr>
        <w:tabs>
          <w:tab w:val="num" w:pos="3963"/>
        </w:tabs>
        <w:ind w:left="3963" w:hanging="360"/>
      </w:pPr>
      <w:rPr>
        <w:rFonts w:ascii="Wingdings" w:hAnsi="Wingdings" w:hint="default"/>
      </w:rPr>
    </w:lvl>
    <w:lvl w:ilvl="6" w:tplc="D5FA7540">
      <w:start w:val="1"/>
      <w:numFmt w:val="bullet"/>
      <w:lvlText w:val=""/>
      <w:lvlJc w:val="left"/>
      <w:pPr>
        <w:tabs>
          <w:tab w:val="num" w:pos="4683"/>
        </w:tabs>
        <w:ind w:left="4683" w:hanging="360"/>
      </w:pPr>
      <w:rPr>
        <w:rFonts w:ascii="Symbol" w:hAnsi="Symbol" w:hint="default"/>
      </w:rPr>
    </w:lvl>
    <w:lvl w:ilvl="7" w:tplc="7F566C18">
      <w:start w:val="1"/>
      <w:numFmt w:val="bullet"/>
      <w:lvlText w:val="o"/>
      <w:lvlJc w:val="left"/>
      <w:pPr>
        <w:tabs>
          <w:tab w:val="num" w:pos="5403"/>
        </w:tabs>
        <w:ind w:left="5403" w:hanging="360"/>
      </w:pPr>
      <w:rPr>
        <w:rFonts w:ascii="Courier New" w:hAnsi="Courier New" w:hint="default"/>
      </w:rPr>
    </w:lvl>
    <w:lvl w:ilvl="8" w:tplc="34DC5F68">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22C08076">
      <w:start w:val="1"/>
      <w:numFmt w:val="bullet"/>
      <w:pStyle w:val="Bullet3"/>
      <w:lvlText w:val=""/>
      <w:lvlJc w:val="left"/>
      <w:pPr>
        <w:tabs>
          <w:tab w:val="num" w:pos="1800"/>
        </w:tabs>
        <w:ind w:left="1797" w:hanging="357"/>
      </w:pPr>
      <w:rPr>
        <w:rFonts w:ascii="Symbol" w:hAnsi="Symbol" w:hint="default"/>
      </w:rPr>
    </w:lvl>
    <w:lvl w:ilvl="1" w:tplc="ADEE1AD8">
      <w:start w:val="1"/>
      <w:numFmt w:val="bullet"/>
      <w:lvlText w:val="o"/>
      <w:lvlJc w:val="left"/>
      <w:pPr>
        <w:tabs>
          <w:tab w:val="num" w:pos="2160"/>
        </w:tabs>
        <w:ind w:left="2160" w:hanging="360"/>
      </w:pPr>
      <w:rPr>
        <w:rFonts w:ascii="Courier New" w:hAnsi="Courier New" w:hint="default"/>
      </w:rPr>
    </w:lvl>
    <w:lvl w:ilvl="2" w:tplc="21BED500">
      <w:start w:val="1"/>
      <w:numFmt w:val="bullet"/>
      <w:lvlText w:val=""/>
      <w:lvlJc w:val="left"/>
      <w:pPr>
        <w:tabs>
          <w:tab w:val="num" w:pos="2880"/>
        </w:tabs>
        <w:ind w:left="2880" w:hanging="360"/>
      </w:pPr>
      <w:rPr>
        <w:rFonts w:ascii="Wingdings" w:hAnsi="Wingdings" w:hint="default"/>
      </w:rPr>
    </w:lvl>
    <w:lvl w:ilvl="3" w:tplc="04EE5CFA">
      <w:start w:val="1"/>
      <w:numFmt w:val="bullet"/>
      <w:lvlText w:val=""/>
      <w:lvlJc w:val="left"/>
      <w:pPr>
        <w:tabs>
          <w:tab w:val="num" w:pos="3600"/>
        </w:tabs>
        <w:ind w:left="3600" w:hanging="360"/>
      </w:pPr>
      <w:rPr>
        <w:rFonts w:ascii="Symbol" w:hAnsi="Symbol" w:hint="default"/>
      </w:rPr>
    </w:lvl>
    <w:lvl w:ilvl="4" w:tplc="5C8868C4">
      <w:start w:val="1"/>
      <w:numFmt w:val="bullet"/>
      <w:lvlText w:val="o"/>
      <w:lvlJc w:val="left"/>
      <w:pPr>
        <w:tabs>
          <w:tab w:val="num" w:pos="4320"/>
        </w:tabs>
        <w:ind w:left="4320" w:hanging="360"/>
      </w:pPr>
      <w:rPr>
        <w:rFonts w:ascii="Courier New" w:hAnsi="Courier New" w:hint="default"/>
      </w:rPr>
    </w:lvl>
    <w:lvl w:ilvl="5" w:tplc="A33817A0">
      <w:start w:val="1"/>
      <w:numFmt w:val="bullet"/>
      <w:lvlText w:val=""/>
      <w:lvlJc w:val="left"/>
      <w:pPr>
        <w:tabs>
          <w:tab w:val="num" w:pos="5040"/>
        </w:tabs>
        <w:ind w:left="5040" w:hanging="360"/>
      </w:pPr>
      <w:rPr>
        <w:rFonts w:ascii="Wingdings" w:hAnsi="Wingdings" w:hint="default"/>
      </w:rPr>
    </w:lvl>
    <w:lvl w:ilvl="6" w:tplc="9CA4B748">
      <w:start w:val="1"/>
      <w:numFmt w:val="bullet"/>
      <w:lvlText w:val=""/>
      <w:lvlJc w:val="left"/>
      <w:pPr>
        <w:tabs>
          <w:tab w:val="num" w:pos="5760"/>
        </w:tabs>
        <w:ind w:left="5760" w:hanging="360"/>
      </w:pPr>
      <w:rPr>
        <w:rFonts w:ascii="Symbol" w:hAnsi="Symbol" w:hint="default"/>
      </w:rPr>
    </w:lvl>
    <w:lvl w:ilvl="7" w:tplc="B636C068">
      <w:start w:val="1"/>
      <w:numFmt w:val="bullet"/>
      <w:lvlText w:val="o"/>
      <w:lvlJc w:val="left"/>
      <w:pPr>
        <w:tabs>
          <w:tab w:val="num" w:pos="6480"/>
        </w:tabs>
        <w:ind w:left="6480" w:hanging="360"/>
      </w:pPr>
      <w:rPr>
        <w:rFonts w:ascii="Courier New" w:hAnsi="Courier New" w:hint="default"/>
      </w:rPr>
    </w:lvl>
    <w:lvl w:ilvl="8" w:tplc="D6749AFC">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E9BA4436">
      <w:start w:val="1"/>
      <w:numFmt w:val="bullet"/>
      <w:pStyle w:val="Bullet5"/>
      <w:lvlText w:val=""/>
      <w:lvlJc w:val="left"/>
      <w:pPr>
        <w:tabs>
          <w:tab w:val="num" w:pos="1795"/>
        </w:tabs>
        <w:ind w:left="1792" w:hanging="357"/>
      </w:pPr>
      <w:rPr>
        <w:rFonts w:ascii="Symbol" w:hAnsi="Symbol" w:hint="default"/>
      </w:rPr>
    </w:lvl>
    <w:lvl w:ilvl="1" w:tplc="27A2E090">
      <w:start w:val="1"/>
      <w:numFmt w:val="bullet"/>
      <w:lvlText w:val="o"/>
      <w:lvlJc w:val="left"/>
      <w:pPr>
        <w:tabs>
          <w:tab w:val="num" w:pos="1440"/>
        </w:tabs>
        <w:ind w:left="1440" w:hanging="360"/>
      </w:pPr>
      <w:rPr>
        <w:rFonts w:ascii="Courier New" w:hAnsi="Courier New" w:hint="default"/>
      </w:rPr>
    </w:lvl>
    <w:lvl w:ilvl="2" w:tplc="7D940A9E">
      <w:start w:val="1"/>
      <w:numFmt w:val="bullet"/>
      <w:lvlText w:val=""/>
      <w:lvlJc w:val="left"/>
      <w:pPr>
        <w:tabs>
          <w:tab w:val="num" w:pos="2160"/>
        </w:tabs>
        <w:ind w:left="2160" w:hanging="360"/>
      </w:pPr>
      <w:rPr>
        <w:rFonts w:ascii="Wingdings" w:hAnsi="Wingdings" w:hint="default"/>
      </w:rPr>
    </w:lvl>
    <w:lvl w:ilvl="3" w:tplc="BF5492F4">
      <w:start w:val="1"/>
      <w:numFmt w:val="bullet"/>
      <w:lvlText w:val=""/>
      <w:lvlJc w:val="left"/>
      <w:pPr>
        <w:tabs>
          <w:tab w:val="num" w:pos="2880"/>
        </w:tabs>
        <w:ind w:left="2880" w:hanging="360"/>
      </w:pPr>
      <w:rPr>
        <w:rFonts w:ascii="Symbol" w:hAnsi="Symbol" w:hint="default"/>
      </w:rPr>
    </w:lvl>
    <w:lvl w:ilvl="4" w:tplc="3EE43BAA">
      <w:start w:val="1"/>
      <w:numFmt w:val="bullet"/>
      <w:lvlText w:val="o"/>
      <w:lvlJc w:val="left"/>
      <w:pPr>
        <w:tabs>
          <w:tab w:val="num" w:pos="3600"/>
        </w:tabs>
        <w:ind w:left="3600" w:hanging="360"/>
      </w:pPr>
      <w:rPr>
        <w:rFonts w:ascii="Courier New" w:hAnsi="Courier New" w:hint="default"/>
      </w:rPr>
    </w:lvl>
    <w:lvl w:ilvl="5" w:tplc="470A98CE">
      <w:start w:val="1"/>
      <w:numFmt w:val="bullet"/>
      <w:lvlText w:val=""/>
      <w:lvlJc w:val="left"/>
      <w:pPr>
        <w:tabs>
          <w:tab w:val="num" w:pos="4320"/>
        </w:tabs>
        <w:ind w:left="4320" w:hanging="360"/>
      </w:pPr>
      <w:rPr>
        <w:rFonts w:ascii="Wingdings" w:hAnsi="Wingdings" w:hint="default"/>
      </w:rPr>
    </w:lvl>
    <w:lvl w:ilvl="6" w:tplc="7EFC1B5A">
      <w:start w:val="1"/>
      <w:numFmt w:val="bullet"/>
      <w:lvlText w:val=""/>
      <w:lvlJc w:val="left"/>
      <w:pPr>
        <w:tabs>
          <w:tab w:val="num" w:pos="5040"/>
        </w:tabs>
        <w:ind w:left="5040" w:hanging="360"/>
      </w:pPr>
      <w:rPr>
        <w:rFonts w:ascii="Symbol" w:hAnsi="Symbol" w:hint="default"/>
      </w:rPr>
    </w:lvl>
    <w:lvl w:ilvl="7" w:tplc="CA968514">
      <w:start w:val="1"/>
      <w:numFmt w:val="bullet"/>
      <w:lvlText w:val="o"/>
      <w:lvlJc w:val="left"/>
      <w:pPr>
        <w:tabs>
          <w:tab w:val="num" w:pos="5760"/>
        </w:tabs>
        <w:ind w:left="5760" w:hanging="360"/>
      </w:pPr>
      <w:rPr>
        <w:rFonts w:ascii="Courier New" w:hAnsi="Courier New" w:hint="default"/>
      </w:rPr>
    </w:lvl>
    <w:lvl w:ilvl="8" w:tplc="C4D006A4">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861C77CC">
      <w:start w:val="1"/>
      <w:numFmt w:val="decimal"/>
      <w:lvlText w:val="%1."/>
      <w:lvlJc w:val="left"/>
      <w:pPr>
        <w:ind w:left="720" w:hanging="360"/>
      </w:pPr>
      <w:rPr>
        <w:rFonts w:cs="Times New Roman" w:hint="default"/>
      </w:rPr>
    </w:lvl>
    <w:lvl w:ilvl="1" w:tplc="5E80F0FC">
      <w:start w:val="1"/>
      <w:numFmt w:val="lowerLetter"/>
      <w:lvlText w:val="%2."/>
      <w:lvlJc w:val="left"/>
      <w:pPr>
        <w:ind w:left="1440" w:hanging="360"/>
      </w:pPr>
      <w:rPr>
        <w:rFonts w:cs="Times New Roman"/>
      </w:rPr>
    </w:lvl>
    <w:lvl w:ilvl="2" w:tplc="A0E4C4F4" w:tentative="1">
      <w:start w:val="1"/>
      <w:numFmt w:val="lowerRoman"/>
      <w:lvlText w:val="%3."/>
      <w:lvlJc w:val="right"/>
      <w:pPr>
        <w:ind w:left="2160" w:hanging="180"/>
      </w:pPr>
      <w:rPr>
        <w:rFonts w:cs="Times New Roman"/>
      </w:rPr>
    </w:lvl>
    <w:lvl w:ilvl="3" w:tplc="6B3C403E" w:tentative="1">
      <w:start w:val="1"/>
      <w:numFmt w:val="decimal"/>
      <w:lvlText w:val="%4."/>
      <w:lvlJc w:val="left"/>
      <w:pPr>
        <w:ind w:left="2880" w:hanging="360"/>
      </w:pPr>
      <w:rPr>
        <w:rFonts w:cs="Times New Roman"/>
      </w:rPr>
    </w:lvl>
    <w:lvl w:ilvl="4" w:tplc="DC5443AE" w:tentative="1">
      <w:start w:val="1"/>
      <w:numFmt w:val="lowerLetter"/>
      <w:lvlText w:val="%5."/>
      <w:lvlJc w:val="left"/>
      <w:pPr>
        <w:ind w:left="3600" w:hanging="360"/>
      </w:pPr>
      <w:rPr>
        <w:rFonts w:cs="Times New Roman"/>
      </w:rPr>
    </w:lvl>
    <w:lvl w:ilvl="5" w:tplc="FEAEDDD6" w:tentative="1">
      <w:start w:val="1"/>
      <w:numFmt w:val="lowerRoman"/>
      <w:lvlText w:val="%6."/>
      <w:lvlJc w:val="right"/>
      <w:pPr>
        <w:ind w:left="4320" w:hanging="180"/>
      </w:pPr>
      <w:rPr>
        <w:rFonts w:cs="Times New Roman"/>
      </w:rPr>
    </w:lvl>
    <w:lvl w:ilvl="6" w:tplc="F47CF6BA" w:tentative="1">
      <w:start w:val="1"/>
      <w:numFmt w:val="decimal"/>
      <w:lvlText w:val="%7."/>
      <w:lvlJc w:val="left"/>
      <w:pPr>
        <w:ind w:left="5040" w:hanging="360"/>
      </w:pPr>
      <w:rPr>
        <w:rFonts w:cs="Times New Roman"/>
      </w:rPr>
    </w:lvl>
    <w:lvl w:ilvl="7" w:tplc="F788D6C4" w:tentative="1">
      <w:start w:val="1"/>
      <w:numFmt w:val="lowerLetter"/>
      <w:lvlText w:val="%8."/>
      <w:lvlJc w:val="left"/>
      <w:pPr>
        <w:ind w:left="5760" w:hanging="360"/>
      </w:pPr>
      <w:rPr>
        <w:rFonts w:cs="Times New Roman"/>
      </w:rPr>
    </w:lvl>
    <w:lvl w:ilvl="8" w:tplc="DC8A288E"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E00EFA1E">
      <w:start w:val="1"/>
      <w:numFmt w:val="bullet"/>
      <w:pStyle w:val="Bullet6"/>
      <w:lvlText w:val=""/>
      <w:lvlJc w:val="left"/>
      <w:pPr>
        <w:tabs>
          <w:tab w:val="num" w:pos="2152"/>
        </w:tabs>
        <w:ind w:left="2149" w:hanging="357"/>
      </w:pPr>
      <w:rPr>
        <w:rFonts w:ascii="Symbol" w:hAnsi="Symbol" w:hint="default"/>
      </w:rPr>
    </w:lvl>
    <w:lvl w:ilvl="1" w:tplc="134218FC">
      <w:start w:val="1"/>
      <w:numFmt w:val="bullet"/>
      <w:lvlText w:val="o"/>
      <w:lvlJc w:val="left"/>
      <w:pPr>
        <w:tabs>
          <w:tab w:val="num" w:pos="1440"/>
        </w:tabs>
        <w:ind w:left="1440" w:hanging="360"/>
      </w:pPr>
      <w:rPr>
        <w:rFonts w:ascii="Courier New" w:hAnsi="Courier New" w:hint="default"/>
      </w:rPr>
    </w:lvl>
    <w:lvl w:ilvl="2" w:tplc="C73CD1DE">
      <w:start w:val="1"/>
      <w:numFmt w:val="bullet"/>
      <w:lvlText w:val=""/>
      <w:lvlJc w:val="left"/>
      <w:pPr>
        <w:tabs>
          <w:tab w:val="num" w:pos="2160"/>
        </w:tabs>
        <w:ind w:left="2160" w:hanging="360"/>
      </w:pPr>
      <w:rPr>
        <w:rFonts w:ascii="Wingdings" w:hAnsi="Wingdings" w:hint="default"/>
      </w:rPr>
    </w:lvl>
    <w:lvl w:ilvl="3" w:tplc="B058AF04">
      <w:start w:val="1"/>
      <w:numFmt w:val="bullet"/>
      <w:lvlText w:val=""/>
      <w:lvlJc w:val="left"/>
      <w:pPr>
        <w:tabs>
          <w:tab w:val="num" w:pos="2880"/>
        </w:tabs>
        <w:ind w:left="2880" w:hanging="360"/>
      </w:pPr>
      <w:rPr>
        <w:rFonts w:ascii="Symbol" w:hAnsi="Symbol" w:hint="default"/>
      </w:rPr>
    </w:lvl>
    <w:lvl w:ilvl="4" w:tplc="D8920250">
      <w:start w:val="1"/>
      <w:numFmt w:val="bullet"/>
      <w:lvlText w:val="o"/>
      <w:lvlJc w:val="left"/>
      <w:pPr>
        <w:tabs>
          <w:tab w:val="num" w:pos="3600"/>
        </w:tabs>
        <w:ind w:left="3600" w:hanging="360"/>
      </w:pPr>
      <w:rPr>
        <w:rFonts w:ascii="Courier New" w:hAnsi="Courier New" w:hint="default"/>
      </w:rPr>
    </w:lvl>
    <w:lvl w:ilvl="5" w:tplc="279A95B2">
      <w:start w:val="1"/>
      <w:numFmt w:val="bullet"/>
      <w:lvlText w:val=""/>
      <w:lvlJc w:val="left"/>
      <w:pPr>
        <w:tabs>
          <w:tab w:val="num" w:pos="4320"/>
        </w:tabs>
        <w:ind w:left="4320" w:hanging="360"/>
      </w:pPr>
      <w:rPr>
        <w:rFonts w:ascii="Wingdings" w:hAnsi="Wingdings" w:hint="default"/>
      </w:rPr>
    </w:lvl>
    <w:lvl w:ilvl="6" w:tplc="38322C66">
      <w:start w:val="1"/>
      <w:numFmt w:val="bullet"/>
      <w:lvlText w:val=""/>
      <w:lvlJc w:val="left"/>
      <w:pPr>
        <w:tabs>
          <w:tab w:val="num" w:pos="5040"/>
        </w:tabs>
        <w:ind w:left="5040" w:hanging="360"/>
      </w:pPr>
      <w:rPr>
        <w:rFonts w:ascii="Symbol" w:hAnsi="Symbol" w:hint="default"/>
      </w:rPr>
    </w:lvl>
    <w:lvl w:ilvl="7" w:tplc="CB8E8288">
      <w:start w:val="1"/>
      <w:numFmt w:val="bullet"/>
      <w:lvlText w:val="o"/>
      <w:lvlJc w:val="left"/>
      <w:pPr>
        <w:tabs>
          <w:tab w:val="num" w:pos="5760"/>
        </w:tabs>
        <w:ind w:left="5760" w:hanging="360"/>
      </w:pPr>
      <w:rPr>
        <w:rFonts w:ascii="Courier New" w:hAnsi="Courier New" w:hint="default"/>
      </w:rPr>
    </w:lvl>
    <w:lvl w:ilvl="8" w:tplc="23E42A1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620E1236">
      <w:start w:val="1"/>
      <w:numFmt w:val="upperLetter"/>
      <w:lvlText w:val="%1."/>
      <w:lvlJc w:val="left"/>
      <w:pPr>
        <w:ind w:left="720" w:hanging="360"/>
      </w:pPr>
      <w:rPr>
        <w:rFonts w:cs="Times New Roman" w:hint="default"/>
        <w:b/>
        <w:bCs/>
      </w:rPr>
    </w:lvl>
    <w:lvl w:ilvl="1" w:tplc="E4DA1480">
      <w:start w:val="1"/>
      <w:numFmt w:val="lowerLetter"/>
      <w:lvlText w:val="%2."/>
      <w:lvlJc w:val="left"/>
      <w:pPr>
        <w:ind w:left="1440" w:hanging="360"/>
      </w:pPr>
      <w:rPr>
        <w:rFonts w:cs="Times New Roman"/>
      </w:rPr>
    </w:lvl>
    <w:lvl w:ilvl="2" w:tplc="C1624BB0" w:tentative="1">
      <w:start w:val="1"/>
      <w:numFmt w:val="lowerRoman"/>
      <w:lvlText w:val="%3."/>
      <w:lvlJc w:val="right"/>
      <w:pPr>
        <w:ind w:left="2160" w:hanging="180"/>
      </w:pPr>
      <w:rPr>
        <w:rFonts w:cs="Times New Roman"/>
      </w:rPr>
    </w:lvl>
    <w:lvl w:ilvl="3" w:tplc="2A7C5F08" w:tentative="1">
      <w:start w:val="1"/>
      <w:numFmt w:val="decimal"/>
      <w:lvlText w:val="%4."/>
      <w:lvlJc w:val="left"/>
      <w:pPr>
        <w:ind w:left="2880" w:hanging="360"/>
      </w:pPr>
      <w:rPr>
        <w:rFonts w:cs="Times New Roman"/>
      </w:rPr>
    </w:lvl>
    <w:lvl w:ilvl="4" w:tplc="5082ED0E" w:tentative="1">
      <w:start w:val="1"/>
      <w:numFmt w:val="lowerLetter"/>
      <w:lvlText w:val="%5."/>
      <w:lvlJc w:val="left"/>
      <w:pPr>
        <w:ind w:left="3600" w:hanging="360"/>
      </w:pPr>
      <w:rPr>
        <w:rFonts w:cs="Times New Roman"/>
      </w:rPr>
    </w:lvl>
    <w:lvl w:ilvl="5" w:tplc="FBE4DE20" w:tentative="1">
      <w:start w:val="1"/>
      <w:numFmt w:val="lowerRoman"/>
      <w:lvlText w:val="%6."/>
      <w:lvlJc w:val="right"/>
      <w:pPr>
        <w:ind w:left="4320" w:hanging="180"/>
      </w:pPr>
      <w:rPr>
        <w:rFonts w:cs="Times New Roman"/>
      </w:rPr>
    </w:lvl>
    <w:lvl w:ilvl="6" w:tplc="15F0ECB8" w:tentative="1">
      <w:start w:val="1"/>
      <w:numFmt w:val="decimal"/>
      <w:lvlText w:val="%7."/>
      <w:lvlJc w:val="left"/>
      <w:pPr>
        <w:ind w:left="5040" w:hanging="360"/>
      </w:pPr>
      <w:rPr>
        <w:rFonts w:cs="Times New Roman"/>
      </w:rPr>
    </w:lvl>
    <w:lvl w:ilvl="7" w:tplc="FCD0808A" w:tentative="1">
      <w:start w:val="1"/>
      <w:numFmt w:val="lowerLetter"/>
      <w:lvlText w:val="%8."/>
      <w:lvlJc w:val="left"/>
      <w:pPr>
        <w:ind w:left="5760" w:hanging="360"/>
      </w:pPr>
      <w:rPr>
        <w:rFonts w:cs="Times New Roman"/>
      </w:rPr>
    </w:lvl>
    <w:lvl w:ilvl="8" w:tplc="9CD2B0F0"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74323"/>
    <w:rsid w:val="00180E3B"/>
    <w:rsid w:val="00181242"/>
    <w:rsid w:val="0018207A"/>
    <w:rsid w:val="001930E6"/>
    <w:rsid w:val="001A08F8"/>
    <w:rsid w:val="001A20D0"/>
    <w:rsid w:val="001A3C93"/>
    <w:rsid w:val="001A53AF"/>
    <w:rsid w:val="001A5666"/>
    <w:rsid w:val="001B209F"/>
    <w:rsid w:val="001B6AF1"/>
    <w:rsid w:val="001C02A1"/>
    <w:rsid w:val="001C0FAF"/>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4840"/>
    <w:rsid w:val="002B5206"/>
    <w:rsid w:val="002B5D8B"/>
    <w:rsid w:val="002B653E"/>
    <w:rsid w:val="002B6927"/>
    <w:rsid w:val="002B7AB9"/>
    <w:rsid w:val="002C3883"/>
    <w:rsid w:val="002C5B02"/>
    <w:rsid w:val="002C78CE"/>
    <w:rsid w:val="002D1A8A"/>
    <w:rsid w:val="002D3B2A"/>
    <w:rsid w:val="002D6E49"/>
    <w:rsid w:val="002E2EB2"/>
    <w:rsid w:val="002E642B"/>
    <w:rsid w:val="002E672E"/>
    <w:rsid w:val="002E7CC5"/>
    <w:rsid w:val="002F052A"/>
    <w:rsid w:val="002F332F"/>
    <w:rsid w:val="002F587C"/>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5AD6"/>
    <w:rsid w:val="00381853"/>
    <w:rsid w:val="00382784"/>
    <w:rsid w:val="00382A4C"/>
    <w:rsid w:val="0038341F"/>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4BC4"/>
    <w:rsid w:val="004C68D5"/>
    <w:rsid w:val="004C716C"/>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40A5"/>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0E7"/>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0"/>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2D39"/>
    <w:rsid w:val="00A054BE"/>
    <w:rsid w:val="00A065BF"/>
    <w:rsid w:val="00A11281"/>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76ADB"/>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2"/>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90F"/>
    <w:rsid w:val="00CB5C5E"/>
    <w:rsid w:val="00CC0D3E"/>
    <w:rsid w:val="00CC317B"/>
    <w:rsid w:val="00CC53B5"/>
    <w:rsid w:val="00CC66D4"/>
    <w:rsid w:val="00CD06EF"/>
    <w:rsid w:val="00CD0D4C"/>
    <w:rsid w:val="00CD3924"/>
    <w:rsid w:val="00CD4F68"/>
    <w:rsid w:val="00CE430B"/>
    <w:rsid w:val="00CE676A"/>
    <w:rsid w:val="00CF2926"/>
    <w:rsid w:val="00CF3BA8"/>
    <w:rsid w:val="00CF3FB3"/>
    <w:rsid w:val="00CF4AB9"/>
    <w:rsid w:val="00CF4F2D"/>
    <w:rsid w:val="00D02FEB"/>
    <w:rsid w:val="00D03E6B"/>
    <w:rsid w:val="00D066CF"/>
    <w:rsid w:val="00D0700B"/>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37A"/>
    <w:rsid w:val="00D52C1D"/>
    <w:rsid w:val="00D567E5"/>
    <w:rsid w:val="00D657E3"/>
    <w:rsid w:val="00D66028"/>
    <w:rsid w:val="00D6747D"/>
    <w:rsid w:val="00D76052"/>
    <w:rsid w:val="00D800F3"/>
    <w:rsid w:val="00D820EB"/>
    <w:rsid w:val="00D83D8B"/>
    <w:rsid w:val="00D844EA"/>
    <w:rsid w:val="00D846BD"/>
    <w:rsid w:val="00D8529C"/>
    <w:rsid w:val="00D86BDA"/>
    <w:rsid w:val="00D9068A"/>
    <w:rsid w:val="00D9153F"/>
    <w:rsid w:val="00D91D36"/>
    <w:rsid w:val="00D924F2"/>
    <w:rsid w:val="00D96E58"/>
    <w:rsid w:val="00DA11BD"/>
    <w:rsid w:val="00DA1678"/>
    <w:rsid w:val="00DA21EC"/>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2B73"/>
    <w:rsid w:val="00E535C2"/>
    <w:rsid w:val="00E54E0E"/>
    <w:rsid w:val="00E63380"/>
    <w:rsid w:val="00E635B4"/>
    <w:rsid w:val="00E639AA"/>
    <w:rsid w:val="00E65698"/>
    <w:rsid w:val="00E72CC7"/>
    <w:rsid w:val="00E7458D"/>
    <w:rsid w:val="00E748F1"/>
    <w:rsid w:val="00E80715"/>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7092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Erwhnung1">
    <w:name w:val="Erwähnung1"/>
    <w:basedOn w:val="DefaultParagraphFont"/>
    <w:uiPriority w:val="99"/>
    <w:semiHidden/>
    <w:unhideWhenUsed/>
    <w:rsid w:val="00715C44"/>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4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xporting" TargetMode="External"/><Relationship Id="rId5" Type="http://schemas.openxmlformats.org/officeDocument/2006/relationships/footnotes" Target="footnotes.xml"/><Relationship Id="rId10" Type="http://schemas.openxmlformats.org/officeDocument/2006/relationships/hyperlink" Target="http://www.howtotell.com"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4198</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2019-03-11T23:03:00Z</dcterms:created>
  <dcterms:modified xsi:type="dcterms:W3CDTF">2019-03-27T15:52:00Z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2019-03-27T15:52:42.1605508Z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cc43f425-09e9-4682-ba43-b60fdadca67b</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