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AE21" w14:textId="12653D24" w:rsidR="00F15EA7" w:rsidRPr="00C45CAE" w:rsidRDefault="00063D6C">
      <w:pPr>
        <w:pStyle w:val="HeadingEULA"/>
        <w:widowControl w:val="0"/>
        <w:rPr>
          <w:rFonts w:eastAsia="SimSun"/>
          <w:sz w:val="20"/>
          <w:szCs w:val="20"/>
        </w:rPr>
      </w:pPr>
      <w:bookmarkStart w:id="0" w:name="_GoBack"/>
      <w:bookmarkEnd w:id="0"/>
      <w:r>
        <w:rPr>
          <w:rFonts w:eastAsia="Tahoma"/>
          <w:sz w:val="20"/>
          <w:szCs w:val="20"/>
          <w:lang w:val="cs-CZ"/>
        </w:rPr>
        <w:t>LICENČNÍ PODMÍNKY PRO SOFTWARE SPOLEČNOSTI MICROSOFT</w:t>
      </w:r>
    </w:p>
    <w:p w14:paraId="5A170546" w14:textId="249A9714" w:rsidR="00F15EA7" w:rsidRPr="00C45CAE" w:rsidRDefault="00063D6C">
      <w:pPr>
        <w:pStyle w:val="HeadingSoftwareTitle"/>
        <w:widowControl w:val="0"/>
        <w:rPr>
          <w:rFonts w:eastAsia="SimSun"/>
          <w:sz w:val="20"/>
          <w:szCs w:val="20"/>
        </w:rPr>
      </w:pPr>
      <w:r>
        <w:rPr>
          <w:rFonts w:eastAsia="Tahoma"/>
          <w:sz w:val="20"/>
          <w:szCs w:val="20"/>
          <w:lang w:val="cs-CZ"/>
        </w:rPr>
        <w:t xml:space="preserve">MICROSOFT VISUAL STUDIO 2019 REMOTE DEBUGGER, STAND-ALONE PROFILER, INTELLITRACE, SNAPSHOT DEBUGGER, jiné nástroje typu DEBUGGER a BUILD TOOLS </w:t>
      </w:r>
    </w:p>
    <w:p w14:paraId="40322DBD" w14:textId="5BD8C649" w:rsidR="00F15EA7" w:rsidRPr="00063D6C" w:rsidRDefault="00063D6C">
      <w:pPr>
        <w:pStyle w:val="Preamble"/>
        <w:widowControl w:val="0"/>
        <w:rPr>
          <w:rFonts w:eastAsia="SimSun"/>
          <w:b w:val="0"/>
          <w:bCs w:val="0"/>
          <w:sz w:val="20"/>
          <w:szCs w:val="20"/>
          <w:lang w:val="cs-CZ"/>
        </w:rPr>
      </w:pPr>
      <w:r>
        <w:rPr>
          <w:rFonts w:eastAsia="Tahoma"/>
          <w:b w:val="0"/>
          <w:bCs w:val="0"/>
          <w:sz w:val="20"/>
          <w:szCs w:val="20"/>
          <w:lang w:val="cs-CZ"/>
        </w:rPr>
        <w:t>Tyto licenční podmínky představují smlouvu mezi vámi a společností Microsoft Corporation (nebo některou z jejích afilací v závislosti na tom, kde bydlíte). Vztahují se na výše uvedený software. Podmínky se rovněž vztahují na jakékoli služby Microsoft nebo aktualizace pro software, pokud se na služby nebo aktualizace nevztahují odlišné podmínky.</w:t>
      </w:r>
    </w:p>
    <w:p w14:paraId="6011874C" w14:textId="77777777" w:rsidR="00F15EA7" w:rsidRPr="00063D6C" w:rsidRDefault="00063D6C">
      <w:pPr>
        <w:pStyle w:val="PreambleBorderAbove"/>
        <w:widowControl w:val="0"/>
        <w:rPr>
          <w:rFonts w:eastAsia="SimSun"/>
          <w:sz w:val="20"/>
          <w:szCs w:val="20"/>
          <w:lang w:val="cs-CZ"/>
        </w:rPr>
      </w:pPr>
      <w:r>
        <w:rPr>
          <w:rFonts w:eastAsia="Tahoma"/>
          <w:sz w:val="20"/>
          <w:szCs w:val="20"/>
          <w:lang w:val="cs-CZ"/>
        </w:rPr>
        <w:t>DODRŽÍTE-LI TYTO LICENČNÍ PODMÍNKY, MÁTE NÁSLEDUJÍCÍ PRÁVA.</w:t>
      </w:r>
    </w:p>
    <w:p w14:paraId="1B804E12" w14:textId="1F80B55F" w:rsidR="00B406AF" w:rsidRPr="00063D6C" w:rsidRDefault="00063D6C">
      <w:pPr>
        <w:pStyle w:val="Heading1"/>
        <w:widowControl w:val="0"/>
        <w:rPr>
          <w:rFonts w:eastAsia="SimSun"/>
          <w:b w:val="0"/>
          <w:bCs w:val="0"/>
          <w:sz w:val="20"/>
          <w:szCs w:val="20"/>
          <w:lang w:val="pt-PT"/>
        </w:rPr>
      </w:pPr>
      <w:r>
        <w:rPr>
          <w:rFonts w:eastAsia="Tahoma"/>
          <w:sz w:val="20"/>
          <w:szCs w:val="20"/>
          <w:lang w:val="cs-CZ"/>
        </w:rPr>
        <w:t xml:space="preserve">PRÁVA K INSTALACI A UŽÍVÁNÍ. </w:t>
      </w:r>
    </w:p>
    <w:p w14:paraId="15D272E7" w14:textId="6F40FF63" w:rsidR="00A408BD" w:rsidRPr="00063D6C" w:rsidRDefault="00063D6C" w:rsidP="00094609">
      <w:pPr>
        <w:pStyle w:val="Heading2"/>
        <w:numPr>
          <w:ilvl w:val="0"/>
          <w:numId w:val="0"/>
        </w:numPr>
        <w:ind w:left="357"/>
        <w:rPr>
          <w:rStyle w:val="Body2Char"/>
          <w:rFonts w:eastAsia="SimSun"/>
          <w:b w:val="0"/>
          <w:bCs w:val="0"/>
          <w:sz w:val="20"/>
          <w:szCs w:val="20"/>
          <w:lang w:val="pt-PT"/>
        </w:rPr>
      </w:pPr>
      <w:r>
        <w:rPr>
          <w:rStyle w:val="Body2Char"/>
          <w:rFonts w:eastAsia="Tahoma"/>
          <w:b w:val="0"/>
          <w:bCs w:val="0"/>
          <w:sz w:val="20"/>
          <w:szCs w:val="20"/>
          <w:lang w:val="cs-CZ"/>
        </w:rPr>
        <w:t>Smíte nainstalovat a užívat libovolný počet kopií softwaru pro použití výhradně ve spojení s produkty Visual Studio Community, Visual Studio Professional a Visual Studio Enterprise, a to za účelem vývoje a testování vašich aplikací.</w:t>
      </w:r>
    </w:p>
    <w:p w14:paraId="3E785BF8" w14:textId="77777777" w:rsidR="0054177A" w:rsidRPr="00C45CAE" w:rsidRDefault="00063D6C">
      <w:pPr>
        <w:pStyle w:val="Heading1"/>
        <w:widowControl w:val="0"/>
        <w:rPr>
          <w:rStyle w:val="Body2Char"/>
          <w:rFonts w:eastAsia="SimSun"/>
          <w:b w:val="0"/>
          <w:bCs w:val="0"/>
          <w:sz w:val="20"/>
          <w:szCs w:val="20"/>
        </w:rPr>
      </w:pPr>
      <w:r>
        <w:rPr>
          <w:rFonts w:eastAsia="Tahoma"/>
          <w:sz w:val="20"/>
          <w:szCs w:val="20"/>
          <w:lang w:val="cs-CZ"/>
        </w:rPr>
        <w:t>PODMÍNKY PRO SPECIFICKÉ SOUČÁSTI.</w:t>
      </w:r>
    </w:p>
    <w:p w14:paraId="2A6CFD0E" w14:textId="3E2592B7" w:rsidR="00585893" w:rsidRPr="00063D6C" w:rsidRDefault="00063D6C" w:rsidP="0054177A">
      <w:pPr>
        <w:pStyle w:val="Heading2"/>
        <w:rPr>
          <w:rFonts w:eastAsia="SimSun"/>
          <w:b w:val="0"/>
          <w:sz w:val="20"/>
          <w:szCs w:val="20"/>
          <w:lang w:val="cs-CZ"/>
        </w:rPr>
      </w:pPr>
      <w:r>
        <w:rPr>
          <w:rFonts w:eastAsia="Tahoma"/>
          <w:sz w:val="20"/>
          <w:szCs w:val="20"/>
          <w:lang w:val="cs-CZ"/>
        </w:rPr>
        <w:t xml:space="preserve">Nástroje. </w:t>
      </w:r>
      <w:r>
        <w:rPr>
          <w:rFonts w:eastAsia="Tahoma"/>
          <w:b w:val="0"/>
          <w:bCs w:val="0"/>
          <w:sz w:val="20"/>
          <w:szCs w:val="20"/>
          <w:lang w:val="cs-CZ"/>
        </w:rPr>
        <w:t>Software obsahuje položky uvedené na seznamu nástrojů na adrese</w:t>
      </w:r>
      <w:r>
        <w:rPr>
          <w:rFonts w:eastAsia="Tahoma"/>
          <w:b w:val="0"/>
          <w:bCs w:val="0"/>
          <w:color w:val="1F4E79"/>
          <w:sz w:val="20"/>
          <w:szCs w:val="20"/>
          <w:lang w:val="cs-CZ"/>
        </w:rPr>
        <w:t xml:space="preserve"> </w:t>
      </w:r>
      <w:hyperlink r:id="rId7" w:history="1">
        <w:r>
          <w:rPr>
            <w:rFonts w:eastAsia="Tahoma" w:cs="Times New Roman"/>
            <w:b w:val="0"/>
            <w:bCs w:val="0"/>
            <w:color w:val="0000FF"/>
            <w:u w:val="single"/>
            <w:lang w:val="cs-CZ"/>
          </w:rPr>
          <w:t>https://aka.ms/vs/16/utilities</w:t>
        </w:r>
      </w:hyperlink>
      <w:r>
        <w:rPr>
          <w:rFonts w:eastAsia="Tahoma"/>
          <w:b w:val="0"/>
          <w:bCs w:val="0"/>
          <w:color w:val="0000FF"/>
          <w:u w:val="single"/>
          <w:lang w:val="cs-CZ"/>
        </w:rPr>
        <w:t xml:space="preserve">. </w:t>
      </w:r>
      <w:r>
        <w:rPr>
          <w:rFonts w:eastAsia="Tahoma"/>
          <w:b w:val="0"/>
          <w:bCs w:val="0"/>
          <w:sz w:val="20"/>
          <w:szCs w:val="20"/>
          <w:lang w:val="cs-CZ"/>
        </w:rPr>
        <w:t xml:space="preserve">   Tyto položky smíte kopírovat a instalovat do vašich zařízení pro účely ladění a nasazování vašich aplikací a databází, které jste pomocí tohoto softwaru vyvinuli. Tyto nástroje jsou určeny pro dočasné použití. Tyto nástroje nemusí společnost Microsoft opravovat nebo aktualizovat mimo zbývající části softwaru. Vlastnosti některých těchto nástrojů mohou druhým osobám umožňovat přístup do zařízení, ve kterých jsou nástroje nainstalovány. Po odladění nebo nasazení svých aplikací a databází byste měli všechny nainstalované nástroje odstranit.  Společnost Microsoft nenese odpovědnost za použití zařízení, na kterých jsou tyto nástroje nainstalovány, (případně i aplikací a databází na těchto zařízeních) a přístup k nim libovolnou třetí stranou.</w:t>
      </w:r>
    </w:p>
    <w:p w14:paraId="3234D243" w14:textId="63D8B045" w:rsidR="00A44DF6" w:rsidRPr="00063D6C" w:rsidRDefault="00063D6C" w:rsidP="0054177A">
      <w:pPr>
        <w:pStyle w:val="Heading2"/>
        <w:rPr>
          <w:rFonts w:eastAsia="SimSun"/>
          <w:b w:val="0"/>
          <w:sz w:val="20"/>
          <w:szCs w:val="20"/>
          <w:lang w:val="cs-CZ"/>
        </w:rPr>
      </w:pPr>
      <w:r>
        <w:rPr>
          <w:rFonts w:eastAsia="Tahoma"/>
          <w:lang w:val="cs-CZ"/>
        </w:rPr>
        <w:t>Sestavovací zařízení a Visual Studio Build Tools.</w:t>
      </w:r>
      <w:r>
        <w:rPr>
          <w:rFonts w:eastAsia="Tahoma"/>
          <w:b w:val="0"/>
          <w:bCs w:val="0"/>
          <w:lang w:val="cs-CZ"/>
        </w:rPr>
        <w:t xml:space="preserve">  Soubory softwaru smíte kopírovat a instalovat do sestavovacích zařízení, včetně fyzických zařízení a virtuálních počítačů nebo kontejnerů v takových počítačích, a to v místních nebo vzdálených počítačích, které vlastníte, jsou pro vás hostovány ve službě Microsoft Azure nebo jsou vyhrazeny výlučně pro vaše užívání (společně dále jako „sestavovací zařízení“). Vy a další uživatelé ve vaší organizaci můžete tyto soubory používat ve vašich sestavovacích zařízeních pouze pro účely kompilace, sestavování a ověřování vašich aplikací vyvinutých pomocí tohoto softwaru nebo k provádění kvalitativních či výkonnostních testů takových aplikací v rámci procesu sestavování.  </w:t>
      </w:r>
    </w:p>
    <w:p w14:paraId="2F731574" w14:textId="63D631B5" w:rsidR="0054177A" w:rsidRPr="00063D6C" w:rsidRDefault="00063D6C" w:rsidP="0054177A">
      <w:pPr>
        <w:pStyle w:val="Heading2"/>
        <w:rPr>
          <w:rFonts w:eastAsia="SimSun"/>
          <w:b w:val="0"/>
          <w:sz w:val="20"/>
          <w:szCs w:val="20"/>
          <w:lang w:val="cs-CZ"/>
        </w:rPr>
      </w:pPr>
      <w:r>
        <w:rPr>
          <w:rFonts w:eastAsia="Tahoma"/>
          <w:sz w:val="20"/>
          <w:szCs w:val="20"/>
          <w:lang w:val="cs-CZ"/>
        </w:rPr>
        <w:t xml:space="preserve">Platformy společnosti Microsoft. </w:t>
      </w:r>
      <w:r>
        <w:rPr>
          <w:rFonts w:eastAsia="Tahoma"/>
          <w:b w:val="0"/>
          <w:bCs w:val="0"/>
          <w:sz w:val="20"/>
          <w:szCs w:val="20"/>
          <w:lang w:val="cs-CZ"/>
        </w:rPr>
        <w:t>Software může zahrnovat komponenty ze systému Microsoft Windows, Microsoft Windows Server, Microsoft SQL Server, Microsoft Exchange, Microsoft Office nebo Microsoft SharePoint. Užívání těchto komponent se řídí samostatnými smlouvami a jejich vlastními zásadami produktové podpory</w:t>
      </w:r>
      <w:r>
        <w:rPr>
          <w:rFonts w:ascii="Garamond" w:eastAsia="Garamond" w:hAnsi="Garamond"/>
          <w:b w:val="0"/>
          <w:bCs w:val="0"/>
          <w:color w:val="002060"/>
          <w:sz w:val="20"/>
          <w:szCs w:val="20"/>
          <w:lang w:val="cs-CZ"/>
        </w:rPr>
        <w:t xml:space="preserve"> </w:t>
      </w:r>
      <w:r>
        <w:rPr>
          <w:rFonts w:eastAsia="Tahoma"/>
          <w:b w:val="0"/>
          <w:bCs w:val="0"/>
          <w:sz w:val="20"/>
          <w:szCs w:val="20"/>
          <w:lang w:val="cs-CZ"/>
        </w:rPr>
        <w:t>popsanými ve složce „Licenses” (licence) společnosti Microsoft umístěné u softwaru s výjimkou případů, kdy jsou licenční podmínky pro tyto komponenty umístěny také v přidruženém instalačním adresáři, kdy platí tyto licenční podmínky.</w:t>
      </w:r>
    </w:p>
    <w:p w14:paraId="6D0AD70F" w14:textId="77777777" w:rsidR="0011022C" w:rsidRPr="00063D6C" w:rsidRDefault="00063D6C" w:rsidP="0011022C">
      <w:pPr>
        <w:pStyle w:val="Heading2"/>
        <w:rPr>
          <w:b w:val="0"/>
          <w:sz w:val="20"/>
          <w:szCs w:val="20"/>
          <w:lang w:val="cs-CZ"/>
        </w:rPr>
      </w:pPr>
      <w:r>
        <w:rPr>
          <w:rFonts w:eastAsia="Tahoma"/>
          <w:sz w:val="20"/>
          <w:szCs w:val="20"/>
          <w:lang w:val="cs-CZ"/>
        </w:rPr>
        <w:t xml:space="preserve">Komponenty třetích stran. </w:t>
      </w:r>
      <w:r>
        <w:rPr>
          <w:rFonts w:eastAsia="Tahoma"/>
          <w:b w:val="0"/>
          <w:bCs w:val="0"/>
          <w:sz w:val="20"/>
          <w:szCs w:val="20"/>
          <w:lang w:val="cs-CZ"/>
        </w:rPr>
        <w:t xml:space="preserve">Software může zahrnovat komponenty třetích stran se samostatnými právními poučeními nebo komponenty, jejichž užívání se řídí jinými smlouvami, které mohou být popsány v souborech ThirdPartyNotices připojených k softwaru.  </w:t>
      </w:r>
    </w:p>
    <w:p w14:paraId="53E94512" w14:textId="77777777" w:rsidR="00282039" w:rsidRPr="00282039" w:rsidRDefault="00063D6C">
      <w:pPr>
        <w:pStyle w:val="Heading1"/>
        <w:widowControl w:val="0"/>
        <w:rPr>
          <w:b w:val="0"/>
          <w:sz w:val="20"/>
          <w:szCs w:val="20"/>
        </w:rPr>
      </w:pPr>
      <w:r>
        <w:rPr>
          <w:rFonts w:eastAsia="Tahoma"/>
          <w:sz w:val="20"/>
          <w:szCs w:val="20"/>
          <w:lang w:val="cs-CZ"/>
        </w:rPr>
        <w:t xml:space="preserve">DATA.  </w:t>
      </w:r>
    </w:p>
    <w:p w14:paraId="370BAFA9" w14:textId="03B3D8CC" w:rsidR="0054177A" w:rsidRDefault="00063D6C" w:rsidP="00282039">
      <w:pPr>
        <w:pStyle w:val="Heading2"/>
        <w:rPr>
          <w:b w:val="0"/>
          <w:sz w:val="20"/>
          <w:szCs w:val="20"/>
        </w:rPr>
      </w:pPr>
      <w:r>
        <w:rPr>
          <w:rFonts w:eastAsia="Tahoma"/>
          <w:sz w:val="20"/>
          <w:szCs w:val="20"/>
          <w:lang w:val="cs-CZ"/>
        </w:rPr>
        <w:t>Shromažďování údajů</w:t>
      </w:r>
      <w:r>
        <w:rPr>
          <w:rFonts w:eastAsia="Tahoma"/>
          <w:b w:val="0"/>
          <w:bCs w:val="0"/>
          <w:sz w:val="20"/>
          <w:szCs w:val="20"/>
          <w:lang w:val="cs-CZ"/>
        </w:rPr>
        <w:t>. Software může shromažďovat informace o vás a užívání softwaru a odesílat je společnosti Microsoft. Společnost Microsoft může tyto informace použít k poskytování služeb a zlepšování svých produktů a služeb.  K některým z těchto scénářů se nemusíte přihlásit, jak je popsáno v dokumentaci k softwaru.  Něk</w:t>
      </w:r>
      <w:r>
        <w:rPr>
          <w:rFonts w:eastAsia="Tahoma"/>
          <w:b w:val="0"/>
          <w:bCs w:val="0"/>
          <w:color w:val="000000"/>
          <w:sz w:val="20"/>
          <w:szCs w:val="20"/>
          <w:lang w:val="cs-CZ"/>
        </w:rPr>
        <w:t>teré funkce v softwaru mohou vám a společnosti Microsoft povolovat shromažďování dat od uživatelů vašich aplikací</w:t>
      </w:r>
      <w:r>
        <w:rPr>
          <w:rFonts w:eastAsia="Tahoma"/>
          <w:b w:val="0"/>
          <w:bCs w:val="0"/>
          <w:sz w:val="20"/>
          <w:szCs w:val="20"/>
          <w:lang w:val="cs-CZ"/>
        </w:rPr>
        <w:t>. Při užívání těchto funkcí musíte dodržovat příslušné zákony, včetně poskytování příslušných sdělení uživatelům vašich aplikací společně prohlášením společnosti</w:t>
      </w:r>
      <w:r>
        <w:rPr>
          <w:rFonts w:eastAsia="Tahoma"/>
          <w:b w:val="0"/>
          <w:bCs w:val="0"/>
          <w:color w:val="000000"/>
          <w:sz w:val="20"/>
          <w:szCs w:val="20"/>
          <w:lang w:val="cs-CZ"/>
        </w:rPr>
        <w:t xml:space="preserve"> Microsoft o ochraně osobních údajů. Prohlášení společnosti Microsoft o ochraně osobních údajů je umístěno na adrese</w:t>
      </w:r>
      <w:r>
        <w:rPr>
          <w:rFonts w:eastAsia="Tahoma"/>
          <w:b w:val="0"/>
          <w:bCs w:val="0"/>
          <w:color w:val="000000"/>
          <w:lang w:val="cs-CZ"/>
        </w:rPr>
        <w:t xml:space="preserve"> </w:t>
      </w:r>
      <w:hyperlink r:id="rId8" w:history="1">
        <w:r>
          <w:rPr>
            <w:rFonts w:eastAsia="Tahoma"/>
            <w:b w:val="0"/>
            <w:bCs w:val="0"/>
            <w:color w:val="0000FF"/>
            <w:sz w:val="20"/>
            <w:szCs w:val="20"/>
            <w:u w:val="single"/>
            <w:lang w:val="cs-CZ"/>
          </w:rPr>
          <w:t>https://go.microsoft.com/fwlink/?LinkID=824704</w:t>
        </w:r>
      </w:hyperlink>
      <w:r>
        <w:rPr>
          <w:rFonts w:eastAsia="Tahoma"/>
          <w:b w:val="0"/>
          <w:bCs w:val="0"/>
          <w:sz w:val="20"/>
          <w:szCs w:val="20"/>
          <w:lang w:val="cs-CZ"/>
        </w:rPr>
        <w:t>. Další informace o sběru a užívání dat naleznete v dokumentaci k softwaru a v našem prohlášení o ochraně osobních údajů. Užitím tohoto softwaru vyjadřujete svůj souhlas s těmito postupy.</w:t>
      </w:r>
    </w:p>
    <w:p w14:paraId="565EC45B" w14:textId="416A9219" w:rsidR="00282039" w:rsidRPr="00063D6C" w:rsidRDefault="00063D6C" w:rsidP="00282039">
      <w:pPr>
        <w:pStyle w:val="Heading2"/>
        <w:rPr>
          <w:b w:val="0"/>
          <w:sz w:val="20"/>
          <w:szCs w:val="20"/>
          <w:lang w:val="cs-CZ"/>
        </w:rPr>
      </w:pPr>
      <w:r>
        <w:rPr>
          <w:rFonts w:eastAsia="Tahoma"/>
          <w:sz w:val="20"/>
          <w:szCs w:val="20"/>
          <w:lang w:val="cs-CZ"/>
        </w:rPr>
        <w:t>Zpracování osobních údajů</w:t>
      </w:r>
      <w:r>
        <w:rPr>
          <w:rFonts w:eastAsia="Tahoma"/>
          <w:b w:val="0"/>
          <w:bCs w:val="0"/>
          <w:sz w:val="20"/>
          <w:szCs w:val="20"/>
          <w:lang w:val="cs-CZ"/>
        </w:rPr>
        <w:t>. V rámci svojí role zpracovatele a dílčího zpracovatele osobních údajů v souvislosti se softwarem společnost Microsoft přijímá vůči všem zákazníkům s účinností ke dni 25. května 2018 závazky v souladu s podmínkami pro online služby dle obecného nařízení Evropské unie o ochraně osobních údajů, které naleznete na adrese</w:t>
      </w:r>
      <w:r>
        <w:rPr>
          <w:rFonts w:eastAsia="Tahoma"/>
          <w:b w:val="0"/>
          <w:bCs w:val="0"/>
          <w:lang w:val="cs-CZ"/>
        </w:rPr>
        <w:t xml:space="preserve"> </w:t>
      </w:r>
      <w:hyperlink r:id="rId9" w:history="1">
        <w:r>
          <w:rPr>
            <w:rFonts w:eastAsia="Tahoma"/>
            <w:b w:val="0"/>
            <w:bCs w:val="0"/>
            <w:color w:val="0000FF"/>
            <w:sz w:val="20"/>
            <w:szCs w:val="20"/>
            <w:u w:val="single"/>
            <w:lang w:val="cs-CZ"/>
          </w:rPr>
          <w:t>https://docs.microsoft.com/en-us/legal/gdpr</w:t>
        </w:r>
      </w:hyperlink>
      <w:r>
        <w:rPr>
          <w:rFonts w:eastAsia="Tahoma"/>
          <w:sz w:val="20"/>
          <w:szCs w:val="20"/>
          <w:lang w:val="cs-CZ"/>
        </w:rPr>
        <w:t xml:space="preserve">.  </w:t>
      </w:r>
    </w:p>
    <w:p w14:paraId="0C9FA85C" w14:textId="2040E649" w:rsidR="00F15EA7" w:rsidRPr="00C45CAE" w:rsidRDefault="00063D6C">
      <w:pPr>
        <w:pStyle w:val="Heading1"/>
        <w:widowControl w:val="0"/>
        <w:rPr>
          <w:rFonts w:eastAsia="SimSun"/>
          <w:b w:val="0"/>
          <w:bCs w:val="0"/>
          <w:sz w:val="20"/>
          <w:szCs w:val="20"/>
        </w:rPr>
      </w:pPr>
      <w:r>
        <w:rPr>
          <w:rFonts w:eastAsia="Tahoma"/>
          <w:sz w:val="20"/>
          <w:szCs w:val="20"/>
          <w:lang w:val="cs-CZ"/>
        </w:rPr>
        <w:t>ROZSAH LICENCE</w:t>
      </w:r>
      <w:r>
        <w:rPr>
          <w:rFonts w:eastAsia="Tahoma"/>
          <w:b w:val="0"/>
          <w:bCs w:val="0"/>
          <w:sz w:val="20"/>
          <w:szCs w:val="20"/>
          <w:lang w:val="cs-CZ"/>
        </w:rPr>
        <w:t xml:space="preserve">. Software se neprodává, pouze se poskytuje licence k jeho užívání. Tyto licenční podmínky vám zajistí některá práva k používání softwaru. Všechna ostatní práva si vyhrazuje společnost Microsoft. Pokud vám </w:t>
      </w:r>
      <w:r>
        <w:rPr>
          <w:rFonts w:eastAsia="Tahoma"/>
          <w:b w:val="0"/>
          <w:bCs w:val="0"/>
          <w:sz w:val="20"/>
          <w:szCs w:val="20"/>
          <w:lang w:val="cs-CZ"/>
        </w:rPr>
        <w:lastRenderedPageBreak/>
        <w:t>rozhodné právo dává další práva, která mají přednost před tímto omezením, smíte používat tento software pouze tak, jak je výslovně povoleno v těchto licenčních podmínkách. Současně musíte dodržovat veškerá technická omezení v softwaru, která umožňují jeho užívání pouze určitými způsoby. Kromě toho nesmíte:</w:t>
      </w:r>
    </w:p>
    <w:p w14:paraId="640A87F8" w14:textId="77777777" w:rsidR="00F15EA7" w:rsidRPr="00C45CAE" w:rsidRDefault="00063D6C">
      <w:pPr>
        <w:pStyle w:val="Bullet2"/>
        <w:widowControl w:val="0"/>
        <w:rPr>
          <w:rFonts w:eastAsia="SimSun"/>
          <w:sz w:val="20"/>
          <w:szCs w:val="20"/>
        </w:rPr>
      </w:pPr>
      <w:r>
        <w:rPr>
          <w:rFonts w:eastAsia="Tahoma"/>
          <w:sz w:val="20"/>
          <w:szCs w:val="20"/>
          <w:lang w:val="cs-CZ"/>
        </w:rPr>
        <w:t>překračovat žádná technická omezení softwaru;</w:t>
      </w:r>
    </w:p>
    <w:p w14:paraId="030F17EE" w14:textId="02F78223" w:rsidR="00F15EA7" w:rsidRPr="005F767D" w:rsidRDefault="00063D6C">
      <w:pPr>
        <w:pStyle w:val="Bullet2"/>
        <w:widowControl w:val="0"/>
        <w:rPr>
          <w:rFonts w:eastAsia="SimSun"/>
          <w:sz w:val="20"/>
          <w:szCs w:val="20"/>
        </w:rPr>
      </w:pPr>
      <w:r>
        <w:rPr>
          <w:rFonts w:eastAsia="Tahoma"/>
          <w:sz w:val="20"/>
          <w:szCs w:val="20"/>
          <w:lang w:val="cs-CZ"/>
        </w:rPr>
        <w:t xml:space="preserve">provádět zpětnou analýzu, dekompilaci nebo rozklad softwaru nebo se </w:t>
      </w:r>
      <w:r>
        <w:rPr>
          <w:rFonts w:eastAsia="Tahoma"/>
          <w:lang w:val="cs-CZ"/>
        </w:rPr>
        <w:t>jinak pokoušet odvodit zdrojový kód softwaru</w:t>
      </w:r>
      <w:r>
        <w:rPr>
          <w:rFonts w:eastAsia="Tahoma"/>
          <w:sz w:val="20"/>
          <w:szCs w:val="20"/>
          <w:lang w:val="cs-CZ"/>
        </w:rPr>
        <w:t xml:space="preserve"> s výjimkou případů, kdy je to požadováno licenčními podmínkami stanovenými třetí stranou, kterými se řídí užívání určitých komponent typu Open Source, které mohou být zahrnuty do softwaru, a v rozsahu těchto podmínek;</w:t>
      </w:r>
    </w:p>
    <w:p w14:paraId="7515A8F9" w14:textId="77777777" w:rsidR="00FD293A" w:rsidRPr="00C45CAE" w:rsidRDefault="00063D6C">
      <w:pPr>
        <w:pStyle w:val="Bullet2"/>
        <w:widowControl w:val="0"/>
        <w:rPr>
          <w:rFonts w:eastAsia="SimSun"/>
          <w:sz w:val="20"/>
          <w:szCs w:val="20"/>
        </w:rPr>
      </w:pPr>
      <w:r>
        <w:rPr>
          <w:rFonts w:eastAsia="Tahoma"/>
          <w:sz w:val="20"/>
          <w:szCs w:val="20"/>
          <w:lang w:val="cs-CZ"/>
        </w:rPr>
        <w:t xml:space="preserve">odebírat, minimalizovat, blokovat nebo upravovat sdělení společnosti Microsoft nebo jejích dodavatelů, která jsou v softwaru obsažena; </w:t>
      </w:r>
    </w:p>
    <w:p w14:paraId="5B005C68" w14:textId="106B5810" w:rsidR="000E462E" w:rsidRPr="00C45CAE" w:rsidRDefault="00063D6C">
      <w:pPr>
        <w:pStyle w:val="Bullet2"/>
        <w:widowControl w:val="0"/>
        <w:rPr>
          <w:rFonts w:eastAsia="SimSun"/>
          <w:sz w:val="20"/>
          <w:szCs w:val="20"/>
        </w:rPr>
      </w:pPr>
      <w:r>
        <w:rPr>
          <w:rFonts w:eastAsia="Tahoma"/>
          <w:sz w:val="20"/>
          <w:szCs w:val="20"/>
          <w:lang w:val="cs-CZ"/>
        </w:rPr>
        <w:t xml:space="preserve">užívat software jakýmkoli způsobem, který je v rozporu se zákonem; </w:t>
      </w:r>
    </w:p>
    <w:p w14:paraId="37E5ED9B" w14:textId="011E22AD" w:rsidR="00094609" w:rsidRDefault="00063D6C">
      <w:pPr>
        <w:pStyle w:val="Bullet2"/>
        <w:widowControl w:val="0"/>
        <w:rPr>
          <w:rFonts w:eastAsia="SimSun"/>
          <w:sz w:val="20"/>
          <w:szCs w:val="20"/>
        </w:rPr>
      </w:pPr>
      <w:r>
        <w:rPr>
          <w:rFonts w:eastAsia="Tahoma"/>
          <w:sz w:val="20"/>
          <w:szCs w:val="20"/>
          <w:lang w:val="cs-CZ"/>
        </w:rPr>
        <w:t xml:space="preserve">sdílet, publikovat, pronajímat nebo poskytovat tento software na leasing; nebo </w:t>
      </w:r>
    </w:p>
    <w:p w14:paraId="0AD91566" w14:textId="0E6C1CB4" w:rsidR="00F15EA7" w:rsidRPr="00C45CAE" w:rsidRDefault="00063D6C">
      <w:pPr>
        <w:pStyle w:val="Bullet2"/>
        <w:widowControl w:val="0"/>
        <w:rPr>
          <w:rFonts w:eastAsia="SimSun"/>
          <w:sz w:val="20"/>
          <w:szCs w:val="20"/>
        </w:rPr>
      </w:pPr>
      <w:r>
        <w:rPr>
          <w:rFonts w:eastAsia="Tahoma"/>
          <w:sz w:val="20"/>
          <w:szCs w:val="20"/>
          <w:lang w:val="cs-CZ"/>
        </w:rPr>
        <w:t>poskytovat software jako samostatnou nabídku nebo v kombinaci s jakoukoli z vašich aplikací pro ostatní uživatele k užívání nebo převádět software nebo tuto smlouvu na jakoukoli třetí stranu.</w:t>
      </w:r>
    </w:p>
    <w:p w14:paraId="10D6EE5F" w14:textId="6BD56529" w:rsidR="00F15EA7" w:rsidRPr="00C45CAE" w:rsidRDefault="00063D6C">
      <w:pPr>
        <w:pStyle w:val="Heading1"/>
        <w:widowControl w:val="0"/>
        <w:rPr>
          <w:rFonts w:eastAsia="SimSun"/>
          <w:b w:val="0"/>
          <w:bCs w:val="0"/>
          <w:sz w:val="20"/>
          <w:szCs w:val="20"/>
        </w:rPr>
      </w:pPr>
      <w:r>
        <w:rPr>
          <w:rFonts w:eastAsia="Tahoma"/>
          <w:sz w:val="20"/>
          <w:szCs w:val="20"/>
          <w:lang w:val="cs-CZ"/>
        </w:rPr>
        <w:t xml:space="preserve">SLUŽBY ODBORNÉ POMOCI. </w:t>
      </w:r>
      <w:r>
        <w:rPr>
          <w:rFonts w:eastAsia="Tahoma"/>
          <w:b w:val="0"/>
          <w:bCs w:val="0"/>
          <w:sz w:val="20"/>
          <w:szCs w:val="20"/>
          <w:lang w:val="cs-CZ"/>
        </w:rPr>
        <w:t>Vzhledem k tomu, že software je poskytován „tak, jak stojí a leží“, nemusíme k němu poskytovat žádné služby podpory.</w:t>
      </w:r>
    </w:p>
    <w:p w14:paraId="20837D11" w14:textId="4A622A62" w:rsidR="00F15EA7" w:rsidRDefault="00063D6C">
      <w:pPr>
        <w:pStyle w:val="Heading1"/>
        <w:widowControl w:val="0"/>
        <w:rPr>
          <w:rFonts w:eastAsia="SimSun"/>
          <w:b w:val="0"/>
          <w:bCs w:val="0"/>
          <w:sz w:val="20"/>
          <w:szCs w:val="20"/>
        </w:rPr>
      </w:pPr>
      <w:r>
        <w:rPr>
          <w:rFonts w:eastAsia="Tahoma"/>
          <w:sz w:val="20"/>
          <w:szCs w:val="20"/>
          <w:lang w:val="cs-CZ"/>
        </w:rPr>
        <w:t>ÚPLNÁ .SMLOUVA.</w:t>
      </w:r>
      <w:r>
        <w:rPr>
          <w:rFonts w:eastAsia="Tahoma"/>
          <w:b w:val="0"/>
          <w:bCs w:val="0"/>
          <w:sz w:val="20"/>
          <w:szCs w:val="20"/>
          <w:lang w:val="cs-CZ"/>
        </w:rPr>
        <w:t xml:space="preserve"> Tato smlouva a podmínky pro doplňky, aktualizace, internetové služby a služby technické podpory, které užíváte, tvoří úplnou smlouvu ohledně softwaru a služeb technické podpory.</w:t>
      </w:r>
    </w:p>
    <w:p w14:paraId="3300CB84" w14:textId="0537131E" w:rsidR="00016A5D" w:rsidRPr="00063D6C" w:rsidRDefault="00063D6C">
      <w:pPr>
        <w:pStyle w:val="Heading1"/>
        <w:widowControl w:val="0"/>
        <w:rPr>
          <w:rFonts w:eastAsia="SimSun"/>
          <w:b w:val="0"/>
          <w:bCs w:val="0"/>
          <w:sz w:val="20"/>
          <w:szCs w:val="20"/>
          <w:lang w:val="pt-PT"/>
        </w:rPr>
      </w:pPr>
      <w:r>
        <w:rPr>
          <w:rFonts w:eastAsia="Tahoma"/>
          <w:sz w:val="20"/>
          <w:szCs w:val="20"/>
          <w:lang w:val="cs-CZ"/>
        </w:rPr>
        <w:t>OMEZENÍ EXPORTU.</w:t>
      </w:r>
      <w:r>
        <w:rPr>
          <w:rFonts w:eastAsia="Tahoma"/>
          <w:b w:val="0"/>
          <w:bCs w:val="0"/>
          <w:sz w:val="20"/>
          <w:szCs w:val="20"/>
          <w:lang w:val="cs-CZ"/>
        </w:rPr>
        <w:t xml:space="preserve"> 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0" w:history="1">
        <w:r>
          <w:rPr>
            <w:rFonts w:eastAsia="Tahoma"/>
            <w:b w:val="0"/>
            <w:bCs w:val="0"/>
            <w:color w:val="0000FF"/>
            <w:sz w:val="20"/>
            <w:szCs w:val="20"/>
            <w:u w:val="single"/>
            <w:lang w:val="cs-CZ"/>
          </w:rPr>
          <w:t>www.microsoft.com/exporting</w:t>
        </w:r>
      </w:hyperlink>
      <w:r>
        <w:rPr>
          <w:rFonts w:eastAsia="Tahoma"/>
          <w:lang w:val="cs-CZ"/>
        </w:rPr>
        <w:t>.</w:t>
      </w:r>
    </w:p>
    <w:p w14:paraId="6F61C4BF" w14:textId="77777777" w:rsidR="00F15EA7" w:rsidRPr="00063D6C" w:rsidRDefault="00063D6C">
      <w:pPr>
        <w:pStyle w:val="Heading1"/>
        <w:widowControl w:val="0"/>
        <w:ind w:left="360" w:hanging="360"/>
        <w:rPr>
          <w:rFonts w:eastAsia="SimSun"/>
          <w:sz w:val="20"/>
          <w:szCs w:val="20"/>
          <w:lang w:val="cs-CZ"/>
        </w:rPr>
      </w:pPr>
      <w:r>
        <w:rPr>
          <w:rFonts w:eastAsia="Tahoma"/>
          <w:sz w:val="20"/>
          <w:szCs w:val="20"/>
          <w:lang w:val="cs-CZ"/>
        </w:rPr>
        <w:t xml:space="preserve">ROZHODNÉ PRÁVO. </w:t>
      </w:r>
      <w:r>
        <w:rPr>
          <w:rFonts w:eastAsia="Tahoma"/>
          <w:b w:val="0"/>
          <w:bCs w:val="0"/>
          <w:sz w:val="20"/>
          <w:szCs w:val="20"/>
          <w:lang w:val="cs-CZ"/>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14C5CFD8" w14:textId="33438BBC" w:rsidR="00E400F3" w:rsidRPr="00063D6C" w:rsidRDefault="00063D6C" w:rsidP="00E400F3">
      <w:pPr>
        <w:pStyle w:val="Heading1"/>
        <w:tabs>
          <w:tab w:val="clear" w:pos="360"/>
          <w:tab w:val="num" w:pos="540"/>
        </w:tabs>
        <w:ind w:left="360" w:hanging="360"/>
        <w:rPr>
          <w:b w:val="0"/>
          <w:sz w:val="20"/>
          <w:szCs w:val="20"/>
          <w:lang w:val="cs-CZ"/>
        </w:rPr>
      </w:pPr>
      <w:r>
        <w:rPr>
          <w:rFonts w:eastAsia="Tahoma"/>
          <w:sz w:val="20"/>
          <w:szCs w:val="20"/>
          <w:lang w:val="cs-CZ"/>
        </w:rPr>
        <w:t xml:space="preserve">PRÁVA SPOTŘEBITELE, REGIONÁLNÍ ODCHYLKY. </w:t>
      </w:r>
      <w:r>
        <w:rPr>
          <w:rFonts w:eastAsia="Tahoma"/>
          <w:b w:val="0"/>
          <w:bCs w:val="0"/>
          <w:sz w:val="20"/>
          <w:szCs w:val="20"/>
          <w:lang w:val="cs-CZ"/>
        </w:rPr>
        <w:t>Tyto licenční podmínky stanovují určitá zákonná práva. Zákony vašeho státu nebo země vám mohou zaručovat i další práva, včetně spotřebitelských práv.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03C36013" w14:textId="77777777" w:rsidR="00E400F3" w:rsidRPr="00063D6C" w:rsidRDefault="00063D6C" w:rsidP="00E400F3">
      <w:pPr>
        <w:pStyle w:val="Heading2"/>
        <w:numPr>
          <w:ilvl w:val="0"/>
          <w:numId w:val="15"/>
        </w:numPr>
        <w:rPr>
          <w:b w:val="0"/>
          <w:sz w:val="20"/>
          <w:szCs w:val="20"/>
          <w:lang w:val="cs-CZ"/>
        </w:rPr>
      </w:pPr>
      <w:r>
        <w:rPr>
          <w:rFonts w:eastAsia="Tahoma"/>
          <w:sz w:val="20"/>
          <w:szCs w:val="20"/>
          <w:lang w:val="cs-CZ"/>
        </w:rPr>
        <w:t xml:space="preserve">Austrálie. </w:t>
      </w:r>
      <w:r>
        <w:rPr>
          <w:rFonts w:eastAsia="Tahoma"/>
          <w:b w:val="0"/>
          <w:bCs w:val="0"/>
          <w:sz w:val="20"/>
          <w:szCs w:val="20"/>
          <w:lang w:val="cs-CZ"/>
        </w:rPr>
        <w:t>Na základě australského spotřebitelského práva máte zákonné záruky a záměrem žádného ustanovení této smlouvy není taková práva jakkoli ovlivňovat.</w:t>
      </w:r>
    </w:p>
    <w:p w14:paraId="79495AC4" w14:textId="4986C75F" w:rsidR="00E400F3" w:rsidRPr="00063D6C" w:rsidRDefault="00063D6C" w:rsidP="00E400F3">
      <w:pPr>
        <w:pStyle w:val="Heading2"/>
        <w:numPr>
          <w:ilvl w:val="0"/>
          <w:numId w:val="15"/>
        </w:numPr>
        <w:rPr>
          <w:b w:val="0"/>
          <w:sz w:val="20"/>
          <w:szCs w:val="20"/>
          <w:lang w:val="cs-CZ"/>
        </w:rPr>
      </w:pPr>
      <w:r>
        <w:rPr>
          <w:rFonts w:eastAsia="Tahoma"/>
          <w:sz w:val="20"/>
          <w:szCs w:val="20"/>
          <w:lang w:val="cs-CZ"/>
        </w:rPr>
        <w:t xml:space="preserve">Kanada. </w:t>
      </w:r>
      <w:r>
        <w:rPr>
          <w:rFonts w:eastAsia="Tahoma"/>
          <w:b w:val="0"/>
          <w:bCs w:val="0"/>
          <w:sz w:val="20"/>
          <w:szCs w:val="20"/>
          <w:lang w:val="cs-CZ"/>
        </w:rPr>
        <w:t>Příjem aktualizací na zařízení můžete ukončit vypnutím přístupu k Internetu. V případě, že se k internetu znovu připojíte, software začne znovu vyhledávat a instalovat aktualizace.</w:t>
      </w:r>
    </w:p>
    <w:p w14:paraId="0E2C154E" w14:textId="77777777" w:rsidR="00E400F3" w:rsidRPr="00E400F3" w:rsidRDefault="00063D6C" w:rsidP="00E400F3">
      <w:pPr>
        <w:pStyle w:val="Heading2"/>
        <w:numPr>
          <w:ilvl w:val="0"/>
          <w:numId w:val="15"/>
        </w:numPr>
        <w:rPr>
          <w:b w:val="0"/>
          <w:sz w:val="20"/>
          <w:szCs w:val="20"/>
        </w:rPr>
      </w:pPr>
      <w:r>
        <w:rPr>
          <w:rFonts w:eastAsia="Tahoma"/>
          <w:sz w:val="20"/>
          <w:szCs w:val="20"/>
          <w:lang w:val="cs-CZ"/>
        </w:rPr>
        <w:t>Německo a Rakousko</w:t>
      </w:r>
      <w:r>
        <w:rPr>
          <w:rFonts w:eastAsia="Tahoma"/>
          <w:b w:val="0"/>
          <w:bCs w:val="0"/>
          <w:sz w:val="20"/>
          <w:szCs w:val="20"/>
          <w:lang w:val="cs-CZ"/>
        </w:rPr>
        <w:t>.</w:t>
      </w:r>
    </w:p>
    <w:p w14:paraId="4C3A0DCD" w14:textId="0DA87FA2" w:rsidR="00E400F3" w:rsidRPr="00063D6C" w:rsidRDefault="00063D6C" w:rsidP="00E400F3">
      <w:pPr>
        <w:ind w:left="717"/>
        <w:rPr>
          <w:sz w:val="20"/>
          <w:szCs w:val="20"/>
          <w:lang w:val="cs-CZ"/>
        </w:rPr>
      </w:pPr>
      <w:r>
        <w:rPr>
          <w:rFonts w:eastAsia="Tahoma"/>
          <w:b/>
          <w:bCs/>
          <w:sz w:val="20"/>
          <w:szCs w:val="20"/>
          <w:lang w:val="cs-CZ"/>
        </w:rPr>
        <w:t>(i)</w:t>
      </w:r>
      <w:r>
        <w:rPr>
          <w:rFonts w:eastAsia="Tahoma"/>
          <w:b/>
          <w:bCs/>
          <w:sz w:val="20"/>
          <w:szCs w:val="20"/>
          <w:lang w:val="cs-CZ"/>
        </w:rPr>
        <w:tab/>
        <w:t>Záruka.</w:t>
      </w:r>
      <w:r>
        <w:rPr>
          <w:rFonts w:eastAsia="Tahoma"/>
          <w:sz w:val="20"/>
          <w:szCs w:val="20"/>
          <w:lang w:val="cs-CZ"/>
        </w:rP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14:paraId="6A3061B7" w14:textId="77777777" w:rsidR="00E400F3" w:rsidRPr="00063D6C" w:rsidRDefault="00063D6C" w:rsidP="00E400F3">
      <w:pPr>
        <w:ind w:left="717"/>
        <w:rPr>
          <w:sz w:val="20"/>
          <w:szCs w:val="20"/>
          <w:lang w:val="cs-CZ"/>
        </w:rPr>
      </w:pPr>
      <w:r>
        <w:rPr>
          <w:rFonts w:eastAsia="Tahoma"/>
          <w:b/>
          <w:bCs/>
          <w:sz w:val="20"/>
          <w:szCs w:val="20"/>
          <w:lang w:val="cs-CZ"/>
        </w:rPr>
        <w:t>(ii)</w:t>
      </w:r>
      <w:r>
        <w:rPr>
          <w:rFonts w:eastAsia="Tahoma"/>
          <w:sz w:val="20"/>
          <w:szCs w:val="20"/>
          <w:lang w:val="cs-CZ"/>
        </w:rPr>
        <w:tab/>
      </w:r>
      <w:r>
        <w:rPr>
          <w:rFonts w:eastAsia="Tahoma"/>
          <w:b/>
          <w:bCs/>
          <w:sz w:val="20"/>
          <w:szCs w:val="20"/>
          <w:lang w:val="cs-CZ"/>
        </w:rPr>
        <w:t>Omezení odpovědnosti.</w:t>
      </w:r>
      <w:r>
        <w:rPr>
          <w:rFonts w:eastAsia="Tahoma"/>
          <w:sz w:val="20"/>
          <w:szCs w:val="20"/>
          <w:lang w:val="cs-CZ"/>
        </w:rPr>
        <w:t xml:space="preserve"> V případě záměrného jednání, hrubé nedbalosti, nároků na základě zákona o odpovědnosti za produkt a také v případě úmrtí nebo zranění nese společnost Microsoft odpovědnost podle zákonného práva.</w:t>
      </w:r>
    </w:p>
    <w:p w14:paraId="5D218710" w14:textId="529B6459" w:rsidR="00E400F3" w:rsidRPr="00063D6C" w:rsidRDefault="00063D6C" w:rsidP="00E400F3">
      <w:pPr>
        <w:pStyle w:val="Heading1"/>
        <w:numPr>
          <w:ilvl w:val="0"/>
          <w:numId w:val="0"/>
        </w:numPr>
        <w:ind w:left="717"/>
        <w:rPr>
          <w:b w:val="0"/>
          <w:sz w:val="20"/>
          <w:szCs w:val="20"/>
          <w:lang w:val="cs-CZ"/>
        </w:rPr>
      </w:pPr>
      <w:r>
        <w:rPr>
          <w:rFonts w:eastAsia="Tahoma"/>
          <w:b w:val="0"/>
          <w:sz w:val="20"/>
          <w:szCs w:val="20"/>
          <w:lang w:val="cs-CZ"/>
        </w:rPr>
        <w:t>V souladu s předchozím ustanovením (ii) ponese společnost Microsoft odpovědnost pouze za mírnou nedbalost, pokud společnost Microsoft porušují takové závažné smluvní povinnosti, jejichž plnění umožňuje řádný výkon této smlouvy a jejichž porušení by ohrozilo účel této smlouvy a zajištění shody, které se může od strany trvale očekávat (tzv. „zásadní povinnosti“). V dalších případech mírné nedbalosti nenese společnost Microsoft odpovědnost za mírnou nedbalost.</w:t>
      </w:r>
    </w:p>
    <w:p w14:paraId="6A476BFE" w14:textId="5FAF86DB" w:rsidR="00F15EA7" w:rsidRPr="00063D6C" w:rsidRDefault="00063D6C">
      <w:pPr>
        <w:pStyle w:val="Heading1"/>
        <w:rPr>
          <w:rFonts w:eastAsia="SimSun"/>
          <w:sz w:val="20"/>
          <w:szCs w:val="20"/>
          <w:lang w:val="cs-CZ"/>
        </w:rPr>
      </w:pPr>
      <w:r>
        <w:rPr>
          <w:rFonts w:eastAsia="Tahoma"/>
          <w:sz w:val="20"/>
          <w:szCs w:val="20"/>
          <w:lang w:val="cs-CZ"/>
        </w:rPr>
        <w:t>ODMÍTNUTÍ ZÁRUK. SOFTWARE JE LICENCOVÁN „JAK STOJÍ A LEŽÍ“. RIZIKA SPOJENÁ S JEJÍM UŽÍVÁNÍM NESETE VY. SPOLEČNOST MICROSOFT NEPOSKYTUJE ŽÁDNÉ VÝSLOVNÉ ZÁRUKY, GARANCE ANI PODMÍNKY. V ROZSAHU POVOLENÉM VAŠIMI MÍSTNÍMI ZÁKONY SPOLEČNOST MICROSOFT VYLUČUJE ODVOZENÉ ZÁRUKY PRODEJNOSTI, VHODNOSTI PRO URČITÝ ÚČEL A NEPORUŠENÍ PRÁV.</w:t>
      </w:r>
    </w:p>
    <w:p w14:paraId="5106E0CA" w14:textId="77777777" w:rsidR="00F15EA7" w:rsidRPr="00063D6C" w:rsidRDefault="00063D6C">
      <w:pPr>
        <w:pStyle w:val="Heading1"/>
        <w:rPr>
          <w:sz w:val="20"/>
          <w:szCs w:val="20"/>
          <w:lang w:val="cs-CZ"/>
        </w:rPr>
      </w:pPr>
      <w:r>
        <w:rPr>
          <w:rFonts w:eastAsia="Tahoma"/>
          <w:sz w:val="20"/>
          <w:szCs w:val="20"/>
          <w:lang w:val="cs-CZ"/>
        </w:rPr>
        <w:lastRenderedPageBreak/>
        <w:t>OMEZENÍ A VYLOUČENÍ NÁHRADY ŠKODY. OD SPOLEČNOSTI MICROSOFT A JEJÍCH DODAVATELŮ MŮŽETE ZÍSKAT POUZE NÁHRADU ZA PŘÍMÉ ŠKODY DO MAXIMÁLNÍ VÝŠE 5,00 USD. NEZÍSKÁTE NÁHRADU ZA ŽÁDNÉ JINÉ ŠKODY VČETNĚ NÁSLEDNÝCH ŠKOD, UŠLÉHO ZISKU A ZVLÁŠTNÍCH, NEPŘÍMÝCH A NÁHODNÝCH ŠKOD.</w:t>
      </w:r>
    </w:p>
    <w:p w14:paraId="0FEA8658" w14:textId="77777777" w:rsidR="00F15EA7" w:rsidRPr="00063D6C" w:rsidRDefault="00063D6C" w:rsidP="0071730A">
      <w:pPr>
        <w:pStyle w:val="Body1"/>
        <w:widowControl w:val="0"/>
        <w:rPr>
          <w:rFonts w:eastAsia="SimSun"/>
          <w:sz w:val="20"/>
          <w:szCs w:val="20"/>
          <w:lang w:val="cs-CZ"/>
        </w:rPr>
      </w:pPr>
      <w:r>
        <w:rPr>
          <w:rFonts w:eastAsia="Tahoma"/>
          <w:sz w:val="20"/>
          <w:szCs w:val="20"/>
          <w:lang w:val="cs-CZ"/>
        </w:rPr>
        <w:t>Toto omezení se vztahuje na (a) cokoli související se softwarem, službami, obsahem (včetně kódu) na webových stránkách třetích stran nebo v aplikacích třetích stran a na (b) žaloby pro porušení smlouvy, porušení záruky, garance či podmínky, objektivní odpovědnosti, nedbalost či jiné občanskoprávní delikty v rozsahu povoleném rozhodným právem.</w:t>
      </w:r>
    </w:p>
    <w:p w14:paraId="33309318" w14:textId="64894F9A" w:rsidR="00F15EA7" w:rsidRPr="00063D6C" w:rsidRDefault="00063D6C">
      <w:pPr>
        <w:widowControl w:val="0"/>
        <w:ind w:left="360"/>
        <w:rPr>
          <w:rFonts w:eastAsia="SimSun"/>
          <w:sz w:val="20"/>
          <w:szCs w:val="20"/>
          <w:lang w:val="cs-CZ"/>
        </w:rPr>
      </w:pPr>
      <w:r>
        <w:rPr>
          <w:rFonts w:eastAsia="Tahoma"/>
          <w:sz w:val="20"/>
          <w:szCs w:val="20"/>
          <w:lang w:val="cs-CZ"/>
        </w:rPr>
        <w:t>Vztahuje se rovněž na situace, kdy společnost Microsoft věděla nebo měla vědět o možnosti vzniku těchto škod. Výše uvedené omezení nebo vyloučení se na vás nemusí rovněž vztahovat v případě, že vaše země neumožňuje vyloučení nebo omezení náhodných, následných nebo jiných škod.</w:t>
      </w:r>
    </w:p>
    <w:p w14:paraId="02BFB7B8" w14:textId="168A62EA" w:rsidR="001F010F" w:rsidRPr="00063D6C" w:rsidRDefault="00063D6C">
      <w:pPr>
        <w:widowControl w:val="0"/>
        <w:ind w:left="360"/>
        <w:rPr>
          <w:rFonts w:eastAsia="SimSun"/>
          <w:sz w:val="20"/>
          <w:szCs w:val="20"/>
        </w:rPr>
      </w:pPr>
      <w:r w:rsidRPr="00063D6C">
        <w:rPr>
          <w:rFonts w:eastAsia="SimSun"/>
          <w:sz w:val="20"/>
          <w:szCs w:val="20"/>
        </w:rPr>
        <w:t xml:space="preserve">EULAID: </w:t>
      </w:r>
      <w:r>
        <w:rPr>
          <w:rFonts w:eastAsia="SimSun"/>
          <w:sz w:val="20"/>
          <w:szCs w:val="20"/>
        </w:rPr>
        <w:t>VS_2019_DiagnosticBuildTools_CSY.1029</w:t>
      </w:r>
    </w:p>
    <w:sectPr w:rsidR="001F010F" w:rsidRPr="00063D6C">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6825D" w14:textId="77777777" w:rsidR="00C32D04" w:rsidRDefault="00C32D04" w:rsidP="00063D6C">
      <w:pPr>
        <w:spacing w:before="0" w:after="0"/>
      </w:pPr>
      <w:r>
        <w:separator/>
      </w:r>
    </w:p>
  </w:endnote>
  <w:endnote w:type="continuationSeparator" w:id="0">
    <w:p w14:paraId="2E3DEA41" w14:textId="77777777" w:rsidR="00C32D04" w:rsidRDefault="00C32D04" w:rsidP="00063D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AF1E" w14:textId="77777777" w:rsidR="00C32D04" w:rsidRDefault="00C32D04" w:rsidP="00063D6C">
      <w:pPr>
        <w:spacing w:before="0" w:after="0"/>
      </w:pPr>
      <w:r>
        <w:separator/>
      </w:r>
    </w:p>
  </w:footnote>
  <w:footnote w:type="continuationSeparator" w:id="0">
    <w:p w14:paraId="7DB41686" w14:textId="77777777" w:rsidR="00C32D04" w:rsidRDefault="00C32D04" w:rsidP="00063D6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A2B0AFBC">
      <w:start w:val="1"/>
      <w:numFmt w:val="bullet"/>
      <w:pStyle w:val="Bullet9"/>
      <w:lvlText w:val=""/>
      <w:lvlJc w:val="left"/>
      <w:pPr>
        <w:tabs>
          <w:tab w:val="num" w:pos="3223"/>
        </w:tabs>
        <w:ind w:left="3221" w:hanging="358"/>
      </w:pPr>
      <w:rPr>
        <w:rFonts w:ascii="Symbol" w:hAnsi="Symbol" w:hint="default"/>
      </w:rPr>
    </w:lvl>
    <w:lvl w:ilvl="1" w:tplc="45E615E4">
      <w:start w:val="1"/>
      <w:numFmt w:val="bullet"/>
      <w:lvlText w:val="o"/>
      <w:lvlJc w:val="left"/>
      <w:pPr>
        <w:tabs>
          <w:tab w:val="num" w:pos="1440"/>
        </w:tabs>
        <w:ind w:left="1440" w:hanging="360"/>
      </w:pPr>
      <w:rPr>
        <w:rFonts w:ascii="Courier New" w:hAnsi="Courier New" w:hint="default"/>
      </w:rPr>
    </w:lvl>
    <w:lvl w:ilvl="2" w:tplc="27E25F72">
      <w:start w:val="1"/>
      <w:numFmt w:val="bullet"/>
      <w:lvlText w:val=""/>
      <w:lvlJc w:val="left"/>
      <w:pPr>
        <w:tabs>
          <w:tab w:val="num" w:pos="2160"/>
        </w:tabs>
        <w:ind w:left="2160" w:hanging="360"/>
      </w:pPr>
      <w:rPr>
        <w:rFonts w:ascii="Wingdings" w:hAnsi="Wingdings" w:hint="default"/>
      </w:rPr>
    </w:lvl>
    <w:lvl w:ilvl="3" w:tplc="2E9471A4">
      <w:start w:val="1"/>
      <w:numFmt w:val="bullet"/>
      <w:lvlText w:val=""/>
      <w:lvlJc w:val="left"/>
      <w:pPr>
        <w:tabs>
          <w:tab w:val="num" w:pos="2880"/>
        </w:tabs>
        <w:ind w:left="2880" w:hanging="360"/>
      </w:pPr>
      <w:rPr>
        <w:rFonts w:ascii="Symbol" w:hAnsi="Symbol" w:hint="default"/>
      </w:rPr>
    </w:lvl>
    <w:lvl w:ilvl="4" w:tplc="140C5D78">
      <w:start w:val="1"/>
      <w:numFmt w:val="bullet"/>
      <w:lvlText w:val="o"/>
      <w:lvlJc w:val="left"/>
      <w:pPr>
        <w:tabs>
          <w:tab w:val="num" w:pos="3600"/>
        </w:tabs>
        <w:ind w:left="3600" w:hanging="360"/>
      </w:pPr>
      <w:rPr>
        <w:rFonts w:ascii="Courier New" w:hAnsi="Courier New" w:hint="default"/>
      </w:rPr>
    </w:lvl>
    <w:lvl w:ilvl="5" w:tplc="53125806">
      <w:start w:val="1"/>
      <w:numFmt w:val="bullet"/>
      <w:lvlText w:val=""/>
      <w:lvlJc w:val="left"/>
      <w:pPr>
        <w:tabs>
          <w:tab w:val="num" w:pos="4320"/>
        </w:tabs>
        <w:ind w:left="4320" w:hanging="360"/>
      </w:pPr>
      <w:rPr>
        <w:rFonts w:ascii="Wingdings" w:hAnsi="Wingdings" w:hint="default"/>
      </w:rPr>
    </w:lvl>
    <w:lvl w:ilvl="6" w:tplc="62F4906A">
      <w:start w:val="1"/>
      <w:numFmt w:val="bullet"/>
      <w:lvlText w:val=""/>
      <w:lvlJc w:val="left"/>
      <w:pPr>
        <w:tabs>
          <w:tab w:val="num" w:pos="5040"/>
        </w:tabs>
        <w:ind w:left="5040" w:hanging="360"/>
      </w:pPr>
      <w:rPr>
        <w:rFonts w:ascii="Symbol" w:hAnsi="Symbol" w:hint="default"/>
      </w:rPr>
    </w:lvl>
    <w:lvl w:ilvl="7" w:tplc="B6AA50EC">
      <w:start w:val="1"/>
      <w:numFmt w:val="bullet"/>
      <w:lvlText w:val="o"/>
      <w:lvlJc w:val="left"/>
      <w:pPr>
        <w:tabs>
          <w:tab w:val="num" w:pos="5760"/>
        </w:tabs>
        <w:ind w:left="5760" w:hanging="360"/>
      </w:pPr>
      <w:rPr>
        <w:rFonts w:ascii="Courier New" w:hAnsi="Courier New" w:hint="default"/>
      </w:rPr>
    </w:lvl>
    <w:lvl w:ilvl="8" w:tplc="035E9FF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0F7C5BBA">
      <w:start w:val="1"/>
      <w:numFmt w:val="bullet"/>
      <w:pStyle w:val="Bullet2"/>
      <w:lvlText w:val=""/>
      <w:lvlJc w:val="left"/>
      <w:pPr>
        <w:tabs>
          <w:tab w:val="num" w:pos="720"/>
        </w:tabs>
        <w:ind w:left="720" w:hanging="363"/>
      </w:pPr>
      <w:rPr>
        <w:rFonts w:ascii="Symbol" w:hAnsi="Symbol" w:hint="default"/>
      </w:rPr>
    </w:lvl>
    <w:lvl w:ilvl="1" w:tplc="8550D64A">
      <w:start w:val="1"/>
      <w:numFmt w:val="bullet"/>
      <w:lvlText w:val="o"/>
      <w:lvlJc w:val="left"/>
      <w:pPr>
        <w:tabs>
          <w:tab w:val="num" w:pos="1440"/>
        </w:tabs>
        <w:ind w:left="1440" w:hanging="360"/>
      </w:pPr>
      <w:rPr>
        <w:rFonts w:ascii="Courier New" w:hAnsi="Courier New" w:hint="default"/>
      </w:rPr>
    </w:lvl>
    <w:lvl w:ilvl="2" w:tplc="5DB44C0E">
      <w:start w:val="1"/>
      <w:numFmt w:val="bullet"/>
      <w:lvlText w:val=""/>
      <w:lvlJc w:val="left"/>
      <w:pPr>
        <w:tabs>
          <w:tab w:val="num" w:pos="2160"/>
        </w:tabs>
        <w:ind w:left="2160" w:hanging="360"/>
      </w:pPr>
      <w:rPr>
        <w:rFonts w:ascii="Wingdings" w:hAnsi="Wingdings" w:hint="default"/>
      </w:rPr>
    </w:lvl>
    <w:lvl w:ilvl="3" w:tplc="1318002C">
      <w:start w:val="1"/>
      <w:numFmt w:val="bullet"/>
      <w:lvlText w:val=""/>
      <w:lvlJc w:val="left"/>
      <w:pPr>
        <w:tabs>
          <w:tab w:val="num" w:pos="2880"/>
        </w:tabs>
        <w:ind w:left="2880" w:hanging="360"/>
      </w:pPr>
      <w:rPr>
        <w:rFonts w:ascii="Symbol" w:hAnsi="Symbol" w:hint="default"/>
      </w:rPr>
    </w:lvl>
    <w:lvl w:ilvl="4" w:tplc="02583DFA">
      <w:start w:val="1"/>
      <w:numFmt w:val="bullet"/>
      <w:lvlText w:val="o"/>
      <w:lvlJc w:val="left"/>
      <w:pPr>
        <w:tabs>
          <w:tab w:val="num" w:pos="3600"/>
        </w:tabs>
        <w:ind w:left="3600" w:hanging="360"/>
      </w:pPr>
      <w:rPr>
        <w:rFonts w:ascii="Courier New" w:hAnsi="Courier New" w:hint="default"/>
      </w:rPr>
    </w:lvl>
    <w:lvl w:ilvl="5" w:tplc="06705070">
      <w:start w:val="1"/>
      <w:numFmt w:val="bullet"/>
      <w:lvlText w:val=""/>
      <w:lvlJc w:val="left"/>
      <w:pPr>
        <w:tabs>
          <w:tab w:val="num" w:pos="4320"/>
        </w:tabs>
        <w:ind w:left="4320" w:hanging="360"/>
      </w:pPr>
      <w:rPr>
        <w:rFonts w:ascii="Wingdings" w:hAnsi="Wingdings" w:hint="default"/>
      </w:rPr>
    </w:lvl>
    <w:lvl w:ilvl="6" w:tplc="560C6A22">
      <w:start w:val="1"/>
      <w:numFmt w:val="bullet"/>
      <w:lvlText w:val=""/>
      <w:lvlJc w:val="left"/>
      <w:pPr>
        <w:tabs>
          <w:tab w:val="num" w:pos="5040"/>
        </w:tabs>
        <w:ind w:left="5040" w:hanging="360"/>
      </w:pPr>
      <w:rPr>
        <w:rFonts w:ascii="Symbol" w:hAnsi="Symbol" w:hint="default"/>
      </w:rPr>
    </w:lvl>
    <w:lvl w:ilvl="7" w:tplc="10AA9982">
      <w:start w:val="1"/>
      <w:numFmt w:val="bullet"/>
      <w:lvlText w:val="o"/>
      <w:lvlJc w:val="left"/>
      <w:pPr>
        <w:tabs>
          <w:tab w:val="num" w:pos="5760"/>
        </w:tabs>
        <w:ind w:left="5760" w:hanging="360"/>
      </w:pPr>
      <w:rPr>
        <w:rFonts w:ascii="Courier New" w:hAnsi="Courier New" w:hint="default"/>
      </w:rPr>
    </w:lvl>
    <w:lvl w:ilvl="8" w:tplc="86061F9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3BB89270">
      <w:start w:val="1"/>
      <w:numFmt w:val="bullet"/>
      <w:pStyle w:val="Bullet8"/>
      <w:lvlText w:val=""/>
      <w:lvlJc w:val="left"/>
      <w:pPr>
        <w:tabs>
          <w:tab w:val="num" w:pos="2866"/>
        </w:tabs>
        <w:ind w:left="2863" w:hanging="357"/>
      </w:pPr>
      <w:rPr>
        <w:rFonts w:ascii="Symbol" w:hAnsi="Symbol" w:hint="default"/>
      </w:rPr>
    </w:lvl>
    <w:lvl w:ilvl="1" w:tplc="7E0C2066">
      <w:start w:val="1"/>
      <w:numFmt w:val="bullet"/>
      <w:lvlText w:val="o"/>
      <w:lvlJc w:val="left"/>
      <w:pPr>
        <w:tabs>
          <w:tab w:val="num" w:pos="1440"/>
        </w:tabs>
        <w:ind w:left="1440" w:hanging="360"/>
      </w:pPr>
      <w:rPr>
        <w:rFonts w:ascii="Courier New" w:hAnsi="Courier New" w:hint="default"/>
      </w:rPr>
    </w:lvl>
    <w:lvl w:ilvl="2" w:tplc="52A035D0">
      <w:start w:val="1"/>
      <w:numFmt w:val="bullet"/>
      <w:lvlText w:val=""/>
      <w:lvlJc w:val="left"/>
      <w:pPr>
        <w:tabs>
          <w:tab w:val="num" w:pos="2160"/>
        </w:tabs>
        <w:ind w:left="2160" w:hanging="360"/>
      </w:pPr>
      <w:rPr>
        <w:rFonts w:ascii="Wingdings" w:hAnsi="Wingdings" w:hint="default"/>
      </w:rPr>
    </w:lvl>
    <w:lvl w:ilvl="3" w:tplc="D5B29DCA">
      <w:start w:val="1"/>
      <w:numFmt w:val="bullet"/>
      <w:lvlText w:val=""/>
      <w:lvlJc w:val="left"/>
      <w:pPr>
        <w:tabs>
          <w:tab w:val="num" w:pos="2880"/>
        </w:tabs>
        <w:ind w:left="2880" w:hanging="360"/>
      </w:pPr>
      <w:rPr>
        <w:rFonts w:ascii="Symbol" w:hAnsi="Symbol" w:hint="default"/>
      </w:rPr>
    </w:lvl>
    <w:lvl w:ilvl="4" w:tplc="EED4CD54">
      <w:start w:val="1"/>
      <w:numFmt w:val="bullet"/>
      <w:lvlText w:val="o"/>
      <w:lvlJc w:val="left"/>
      <w:pPr>
        <w:tabs>
          <w:tab w:val="num" w:pos="3600"/>
        </w:tabs>
        <w:ind w:left="3600" w:hanging="360"/>
      </w:pPr>
      <w:rPr>
        <w:rFonts w:ascii="Courier New" w:hAnsi="Courier New" w:hint="default"/>
      </w:rPr>
    </w:lvl>
    <w:lvl w:ilvl="5" w:tplc="CEF2D474">
      <w:start w:val="1"/>
      <w:numFmt w:val="bullet"/>
      <w:lvlText w:val=""/>
      <w:lvlJc w:val="left"/>
      <w:pPr>
        <w:tabs>
          <w:tab w:val="num" w:pos="4320"/>
        </w:tabs>
        <w:ind w:left="4320" w:hanging="360"/>
      </w:pPr>
      <w:rPr>
        <w:rFonts w:ascii="Wingdings" w:hAnsi="Wingdings" w:hint="default"/>
      </w:rPr>
    </w:lvl>
    <w:lvl w:ilvl="6" w:tplc="EFB21890">
      <w:start w:val="1"/>
      <w:numFmt w:val="bullet"/>
      <w:lvlText w:val=""/>
      <w:lvlJc w:val="left"/>
      <w:pPr>
        <w:tabs>
          <w:tab w:val="num" w:pos="5040"/>
        </w:tabs>
        <w:ind w:left="5040" w:hanging="360"/>
      </w:pPr>
      <w:rPr>
        <w:rFonts w:ascii="Symbol" w:hAnsi="Symbol" w:hint="default"/>
      </w:rPr>
    </w:lvl>
    <w:lvl w:ilvl="7" w:tplc="D39A4F00">
      <w:start w:val="1"/>
      <w:numFmt w:val="bullet"/>
      <w:lvlText w:val="o"/>
      <w:lvlJc w:val="left"/>
      <w:pPr>
        <w:tabs>
          <w:tab w:val="num" w:pos="5760"/>
        </w:tabs>
        <w:ind w:left="5760" w:hanging="360"/>
      </w:pPr>
      <w:rPr>
        <w:rFonts w:ascii="Courier New" w:hAnsi="Courier New" w:hint="default"/>
      </w:rPr>
    </w:lvl>
    <w:lvl w:ilvl="8" w:tplc="0C16E82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6F50C052">
      <w:start w:val="1"/>
      <w:numFmt w:val="bullet"/>
      <w:pStyle w:val="Bullet7"/>
      <w:lvlText w:val=""/>
      <w:lvlJc w:val="left"/>
      <w:pPr>
        <w:tabs>
          <w:tab w:val="num" w:pos="2509"/>
        </w:tabs>
        <w:ind w:left="2506" w:hanging="357"/>
      </w:pPr>
      <w:rPr>
        <w:rFonts w:ascii="Symbol" w:hAnsi="Symbol" w:hint="default"/>
      </w:rPr>
    </w:lvl>
    <w:lvl w:ilvl="1" w:tplc="A2C62202">
      <w:start w:val="1"/>
      <w:numFmt w:val="bullet"/>
      <w:lvlText w:val="o"/>
      <w:lvlJc w:val="left"/>
      <w:pPr>
        <w:tabs>
          <w:tab w:val="num" w:pos="1440"/>
        </w:tabs>
        <w:ind w:left="1440" w:hanging="360"/>
      </w:pPr>
      <w:rPr>
        <w:rFonts w:ascii="Courier New" w:hAnsi="Courier New" w:hint="default"/>
      </w:rPr>
    </w:lvl>
    <w:lvl w:ilvl="2" w:tplc="F19EF514">
      <w:start w:val="1"/>
      <w:numFmt w:val="bullet"/>
      <w:lvlText w:val=""/>
      <w:lvlJc w:val="left"/>
      <w:pPr>
        <w:tabs>
          <w:tab w:val="num" w:pos="2160"/>
        </w:tabs>
        <w:ind w:left="2160" w:hanging="360"/>
      </w:pPr>
      <w:rPr>
        <w:rFonts w:ascii="Wingdings" w:hAnsi="Wingdings" w:hint="default"/>
      </w:rPr>
    </w:lvl>
    <w:lvl w:ilvl="3" w:tplc="A060F940">
      <w:start w:val="1"/>
      <w:numFmt w:val="bullet"/>
      <w:lvlText w:val=""/>
      <w:lvlJc w:val="left"/>
      <w:pPr>
        <w:tabs>
          <w:tab w:val="num" w:pos="2880"/>
        </w:tabs>
        <w:ind w:left="2880" w:hanging="360"/>
      </w:pPr>
      <w:rPr>
        <w:rFonts w:ascii="Symbol" w:hAnsi="Symbol" w:hint="default"/>
      </w:rPr>
    </w:lvl>
    <w:lvl w:ilvl="4" w:tplc="ACBC3AEE">
      <w:start w:val="1"/>
      <w:numFmt w:val="bullet"/>
      <w:lvlText w:val="o"/>
      <w:lvlJc w:val="left"/>
      <w:pPr>
        <w:tabs>
          <w:tab w:val="num" w:pos="3600"/>
        </w:tabs>
        <w:ind w:left="3600" w:hanging="360"/>
      </w:pPr>
      <w:rPr>
        <w:rFonts w:ascii="Courier New" w:hAnsi="Courier New" w:hint="default"/>
      </w:rPr>
    </w:lvl>
    <w:lvl w:ilvl="5" w:tplc="416E80F0">
      <w:start w:val="1"/>
      <w:numFmt w:val="bullet"/>
      <w:lvlText w:val=""/>
      <w:lvlJc w:val="left"/>
      <w:pPr>
        <w:tabs>
          <w:tab w:val="num" w:pos="4320"/>
        </w:tabs>
        <w:ind w:left="4320" w:hanging="360"/>
      </w:pPr>
      <w:rPr>
        <w:rFonts w:ascii="Wingdings" w:hAnsi="Wingdings" w:hint="default"/>
      </w:rPr>
    </w:lvl>
    <w:lvl w:ilvl="6" w:tplc="E27644FA">
      <w:start w:val="1"/>
      <w:numFmt w:val="bullet"/>
      <w:lvlText w:val=""/>
      <w:lvlJc w:val="left"/>
      <w:pPr>
        <w:tabs>
          <w:tab w:val="num" w:pos="5040"/>
        </w:tabs>
        <w:ind w:left="5040" w:hanging="360"/>
      </w:pPr>
      <w:rPr>
        <w:rFonts w:ascii="Symbol" w:hAnsi="Symbol" w:hint="default"/>
      </w:rPr>
    </w:lvl>
    <w:lvl w:ilvl="7" w:tplc="9D6E366A">
      <w:start w:val="1"/>
      <w:numFmt w:val="bullet"/>
      <w:lvlText w:val="o"/>
      <w:lvlJc w:val="left"/>
      <w:pPr>
        <w:tabs>
          <w:tab w:val="num" w:pos="5760"/>
        </w:tabs>
        <w:ind w:left="5760" w:hanging="360"/>
      </w:pPr>
      <w:rPr>
        <w:rFonts w:ascii="Courier New" w:hAnsi="Courier New" w:hint="default"/>
      </w:rPr>
    </w:lvl>
    <w:lvl w:ilvl="8" w:tplc="DD4AEC7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98626C56">
      <w:start w:val="1"/>
      <w:numFmt w:val="bullet"/>
      <w:pStyle w:val="Bullet4"/>
      <w:lvlText w:val=""/>
      <w:lvlJc w:val="left"/>
      <w:pPr>
        <w:tabs>
          <w:tab w:val="num" w:pos="1437"/>
        </w:tabs>
        <w:ind w:left="1435" w:hanging="358"/>
      </w:pPr>
      <w:rPr>
        <w:rFonts w:ascii="Symbol" w:hAnsi="Symbol" w:hint="default"/>
        <w:color w:val="000000" w:themeColor="text1"/>
      </w:rPr>
    </w:lvl>
    <w:lvl w:ilvl="1" w:tplc="B9A8D872">
      <w:start w:val="1"/>
      <w:numFmt w:val="bullet"/>
      <w:lvlText w:val="o"/>
      <w:lvlJc w:val="left"/>
      <w:pPr>
        <w:tabs>
          <w:tab w:val="num" w:pos="1440"/>
        </w:tabs>
        <w:ind w:left="1440" w:hanging="360"/>
      </w:pPr>
      <w:rPr>
        <w:rFonts w:ascii="Courier New" w:hAnsi="Courier New" w:hint="default"/>
      </w:rPr>
    </w:lvl>
    <w:lvl w:ilvl="2" w:tplc="1AAEEBEA">
      <w:start w:val="1"/>
      <w:numFmt w:val="bullet"/>
      <w:lvlText w:val=""/>
      <w:lvlJc w:val="left"/>
      <w:pPr>
        <w:tabs>
          <w:tab w:val="num" w:pos="2160"/>
        </w:tabs>
        <w:ind w:left="2160" w:hanging="360"/>
      </w:pPr>
      <w:rPr>
        <w:rFonts w:ascii="Wingdings" w:hAnsi="Wingdings" w:hint="default"/>
      </w:rPr>
    </w:lvl>
    <w:lvl w:ilvl="3" w:tplc="F9BAEF8A">
      <w:start w:val="1"/>
      <w:numFmt w:val="bullet"/>
      <w:lvlText w:val=""/>
      <w:lvlJc w:val="left"/>
      <w:pPr>
        <w:tabs>
          <w:tab w:val="num" w:pos="2880"/>
        </w:tabs>
        <w:ind w:left="2880" w:hanging="360"/>
      </w:pPr>
      <w:rPr>
        <w:rFonts w:ascii="Symbol" w:hAnsi="Symbol" w:hint="default"/>
      </w:rPr>
    </w:lvl>
    <w:lvl w:ilvl="4" w:tplc="3528BEE2">
      <w:start w:val="1"/>
      <w:numFmt w:val="bullet"/>
      <w:lvlText w:val="o"/>
      <w:lvlJc w:val="left"/>
      <w:pPr>
        <w:tabs>
          <w:tab w:val="num" w:pos="3600"/>
        </w:tabs>
        <w:ind w:left="3600" w:hanging="360"/>
      </w:pPr>
      <w:rPr>
        <w:rFonts w:ascii="Courier New" w:hAnsi="Courier New" w:hint="default"/>
      </w:rPr>
    </w:lvl>
    <w:lvl w:ilvl="5" w:tplc="8384D352">
      <w:start w:val="1"/>
      <w:numFmt w:val="bullet"/>
      <w:lvlText w:val=""/>
      <w:lvlJc w:val="left"/>
      <w:pPr>
        <w:tabs>
          <w:tab w:val="num" w:pos="4320"/>
        </w:tabs>
        <w:ind w:left="4320" w:hanging="360"/>
      </w:pPr>
      <w:rPr>
        <w:rFonts w:ascii="Wingdings" w:hAnsi="Wingdings" w:hint="default"/>
      </w:rPr>
    </w:lvl>
    <w:lvl w:ilvl="6" w:tplc="6D7CB7EC">
      <w:start w:val="1"/>
      <w:numFmt w:val="bullet"/>
      <w:lvlText w:val=""/>
      <w:lvlJc w:val="left"/>
      <w:pPr>
        <w:tabs>
          <w:tab w:val="num" w:pos="5040"/>
        </w:tabs>
        <w:ind w:left="5040" w:hanging="360"/>
      </w:pPr>
      <w:rPr>
        <w:rFonts w:ascii="Symbol" w:hAnsi="Symbol" w:hint="default"/>
      </w:rPr>
    </w:lvl>
    <w:lvl w:ilvl="7" w:tplc="82A45CAA">
      <w:start w:val="1"/>
      <w:numFmt w:val="bullet"/>
      <w:lvlText w:val="o"/>
      <w:lvlJc w:val="left"/>
      <w:pPr>
        <w:tabs>
          <w:tab w:val="num" w:pos="5760"/>
        </w:tabs>
        <w:ind w:left="5760" w:hanging="360"/>
      </w:pPr>
      <w:rPr>
        <w:rFonts w:ascii="Courier New" w:hAnsi="Courier New" w:hint="default"/>
      </w:rPr>
    </w:lvl>
    <w:lvl w:ilvl="8" w:tplc="59CEADA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CA104F30">
      <w:start w:val="1"/>
      <w:numFmt w:val="bullet"/>
      <w:pStyle w:val="Bullet3"/>
      <w:lvlText w:val=""/>
      <w:lvlJc w:val="left"/>
      <w:pPr>
        <w:tabs>
          <w:tab w:val="num" w:pos="1080"/>
        </w:tabs>
        <w:ind w:left="1077" w:hanging="357"/>
      </w:pPr>
      <w:rPr>
        <w:rFonts w:ascii="Symbol" w:hAnsi="Symbol" w:hint="default"/>
      </w:rPr>
    </w:lvl>
    <w:lvl w:ilvl="1" w:tplc="57EA1808">
      <w:start w:val="1"/>
      <w:numFmt w:val="bullet"/>
      <w:lvlText w:val="o"/>
      <w:lvlJc w:val="left"/>
      <w:pPr>
        <w:tabs>
          <w:tab w:val="num" w:pos="1440"/>
        </w:tabs>
        <w:ind w:left="1440" w:hanging="360"/>
      </w:pPr>
      <w:rPr>
        <w:rFonts w:ascii="Courier New" w:hAnsi="Courier New" w:hint="default"/>
      </w:rPr>
    </w:lvl>
    <w:lvl w:ilvl="2" w:tplc="4F780AE6">
      <w:start w:val="1"/>
      <w:numFmt w:val="bullet"/>
      <w:lvlText w:val=""/>
      <w:lvlJc w:val="left"/>
      <w:pPr>
        <w:tabs>
          <w:tab w:val="num" w:pos="2160"/>
        </w:tabs>
        <w:ind w:left="2160" w:hanging="360"/>
      </w:pPr>
      <w:rPr>
        <w:rFonts w:ascii="Wingdings" w:hAnsi="Wingdings" w:hint="default"/>
      </w:rPr>
    </w:lvl>
    <w:lvl w:ilvl="3" w:tplc="8050F84A">
      <w:start w:val="1"/>
      <w:numFmt w:val="bullet"/>
      <w:lvlText w:val=""/>
      <w:lvlJc w:val="left"/>
      <w:pPr>
        <w:tabs>
          <w:tab w:val="num" w:pos="2880"/>
        </w:tabs>
        <w:ind w:left="2880" w:hanging="360"/>
      </w:pPr>
      <w:rPr>
        <w:rFonts w:ascii="Symbol" w:hAnsi="Symbol" w:hint="default"/>
      </w:rPr>
    </w:lvl>
    <w:lvl w:ilvl="4" w:tplc="E62A76F2">
      <w:start w:val="1"/>
      <w:numFmt w:val="bullet"/>
      <w:lvlText w:val="o"/>
      <w:lvlJc w:val="left"/>
      <w:pPr>
        <w:tabs>
          <w:tab w:val="num" w:pos="3600"/>
        </w:tabs>
        <w:ind w:left="3600" w:hanging="360"/>
      </w:pPr>
      <w:rPr>
        <w:rFonts w:ascii="Courier New" w:hAnsi="Courier New" w:hint="default"/>
      </w:rPr>
    </w:lvl>
    <w:lvl w:ilvl="5" w:tplc="974E1ED6">
      <w:start w:val="1"/>
      <w:numFmt w:val="bullet"/>
      <w:lvlText w:val=""/>
      <w:lvlJc w:val="left"/>
      <w:pPr>
        <w:tabs>
          <w:tab w:val="num" w:pos="4320"/>
        </w:tabs>
        <w:ind w:left="4320" w:hanging="360"/>
      </w:pPr>
      <w:rPr>
        <w:rFonts w:ascii="Wingdings" w:hAnsi="Wingdings" w:hint="default"/>
      </w:rPr>
    </w:lvl>
    <w:lvl w:ilvl="6" w:tplc="655C0DBA">
      <w:start w:val="1"/>
      <w:numFmt w:val="bullet"/>
      <w:lvlText w:val=""/>
      <w:lvlJc w:val="left"/>
      <w:pPr>
        <w:tabs>
          <w:tab w:val="num" w:pos="5040"/>
        </w:tabs>
        <w:ind w:left="5040" w:hanging="360"/>
      </w:pPr>
      <w:rPr>
        <w:rFonts w:ascii="Symbol" w:hAnsi="Symbol" w:hint="default"/>
      </w:rPr>
    </w:lvl>
    <w:lvl w:ilvl="7" w:tplc="0F6051A6">
      <w:start w:val="1"/>
      <w:numFmt w:val="bullet"/>
      <w:lvlText w:val="o"/>
      <w:lvlJc w:val="left"/>
      <w:pPr>
        <w:tabs>
          <w:tab w:val="num" w:pos="5760"/>
        </w:tabs>
        <w:ind w:left="5760" w:hanging="360"/>
      </w:pPr>
      <w:rPr>
        <w:rFonts w:ascii="Courier New" w:hAnsi="Courier New" w:hint="default"/>
      </w:rPr>
    </w:lvl>
    <w:lvl w:ilvl="8" w:tplc="9E6E746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7DA6B38E">
      <w:start w:val="1"/>
      <w:numFmt w:val="decimal"/>
      <w:lvlText w:val="%1."/>
      <w:lvlJc w:val="left"/>
      <w:pPr>
        <w:ind w:left="720" w:hanging="360"/>
      </w:pPr>
    </w:lvl>
    <w:lvl w:ilvl="1" w:tplc="FE163A42">
      <w:start w:val="1"/>
      <w:numFmt w:val="lowerLetter"/>
      <w:lvlText w:val="%2."/>
      <w:lvlJc w:val="left"/>
      <w:pPr>
        <w:ind w:left="1440" w:hanging="360"/>
      </w:pPr>
    </w:lvl>
    <w:lvl w:ilvl="2" w:tplc="56882714">
      <w:start w:val="1"/>
      <w:numFmt w:val="lowerRoman"/>
      <w:lvlText w:val="%3."/>
      <w:lvlJc w:val="right"/>
      <w:pPr>
        <w:ind w:left="2160" w:hanging="180"/>
      </w:pPr>
    </w:lvl>
    <w:lvl w:ilvl="3" w:tplc="7130D3D6">
      <w:start w:val="1"/>
      <w:numFmt w:val="decimal"/>
      <w:lvlText w:val="%4."/>
      <w:lvlJc w:val="left"/>
      <w:pPr>
        <w:ind w:left="2880" w:hanging="360"/>
      </w:pPr>
    </w:lvl>
    <w:lvl w:ilvl="4" w:tplc="6D829304">
      <w:start w:val="1"/>
      <w:numFmt w:val="lowerLetter"/>
      <w:lvlText w:val="%5."/>
      <w:lvlJc w:val="left"/>
      <w:pPr>
        <w:ind w:left="3600" w:hanging="360"/>
      </w:pPr>
    </w:lvl>
    <w:lvl w:ilvl="5" w:tplc="A32675F0">
      <w:start w:val="1"/>
      <w:numFmt w:val="lowerRoman"/>
      <w:lvlText w:val="%6."/>
      <w:lvlJc w:val="right"/>
      <w:pPr>
        <w:ind w:left="4320" w:hanging="180"/>
      </w:pPr>
    </w:lvl>
    <w:lvl w:ilvl="6" w:tplc="00621026">
      <w:start w:val="1"/>
      <w:numFmt w:val="decimal"/>
      <w:lvlText w:val="%7."/>
      <w:lvlJc w:val="left"/>
      <w:pPr>
        <w:ind w:left="5040" w:hanging="360"/>
      </w:pPr>
    </w:lvl>
    <w:lvl w:ilvl="7" w:tplc="D6868C76">
      <w:start w:val="1"/>
      <w:numFmt w:val="lowerLetter"/>
      <w:lvlText w:val="%8."/>
      <w:lvlJc w:val="left"/>
      <w:pPr>
        <w:ind w:left="5760" w:hanging="360"/>
      </w:pPr>
    </w:lvl>
    <w:lvl w:ilvl="8" w:tplc="FCE4439C">
      <w:start w:val="1"/>
      <w:numFmt w:val="lowerRoman"/>
      <w:lvlText w:val="%9."/>
      <w:lvlJc w:val="right"/>
      <w:pPr>
        <w:ind w:left="6480" w:hanging="180"/>
      </w:pPr>
    </w:lvl>
  </w:abstractNum>
  <w:abstractNum w:abstractNumId="10" w15:restartNumberingAfterBreak="0">
    <w:nsid w:val="69FF3A17"/>
    <w:multiLevelType w:val="hybridMultilevel"/>
    <w:tmpl w:val="6680CC6A"/>
    <w:lvl w:ilvl="0" w:tplc="66B0DBB2">
      <w:start w:val="1"/>
      <w:numFmt w:val="bullet"/>
      <w:lvlText w:val=""/>
      <w:lvlJc w:val="left"/>
      <w:pPr>
        <w:ind w:left="720" w:hanging="360"/>
      </w:pPr>
      <w:rPr>
        <w:rFonts w:ascii="Symbol" w:hAnsi="Symbol" w:hint="default"/>
      </w:rPr>
    </w:lvl>
    <w:lvl w:ilvl="1" w:tplc="C7E063CC" w:tentative="1">
      <w:start w:val="1"/>
      <w:numFmt w:val="bullet"/>
      <w:lvlText w:val="o"/>
      <w:lvlJc w:val="left"/>
      <w:pPr>
        <w:ind w:left="1440" w:hanging="360"/>
      </w:pPr>
      <w:rPr>
        <w:rFonts w:ascii="Courier New" w:hAnsi="Courier New" w:hint="default"/>
      </w:rPr>
    </w:lvl>
    <w:lvl w:ilvl="2" w:tplc="27CE5CAE" w:tentative="1">
      <w:start w:val="1"/>
      <w:numFmt w:val="bullet"/>
      <w:lvlText w:val=""/>
      <w:lvlJc w:val="left"/>
      <w:pPr>
        <w:ind w:left="2160" w:hanging="360"/>
      </w:pPr>
      <w:rPr>
        <w:rFonts w:ascii="Wingdings" w:hAnsi="Wingdings" w:hint="default"/>
      </w:rPr>
    </w:lvl>
    <w:lvl w:ilvl="3" w:tplc="FF68F5D6" w:tentative="1">
      <w:start w:val="1"/>
      <w:numFmt w:val="bullet"/>
      <w:lvlText w:val=""/>
      <w:lvlJc w:val="left"/>
      <w:pPr>
        <w:ind w:left="2880" w:hanging="360"/>
      </w:pPr>
      <w:rPr>
        <w:rFonts w:ascii="Symbol" w:hAnsi="Symbol" w:hint="default"/>
      </w:rPr>
    </w:lvl>
    <w:lvl w:ilvl="4" w:tplc="C4883DA0" w:tentative="1">
      <w:start w:val="1"/>
      <w:numFmt w:val="bullet"/>
      <w:lvlText w:val="o"/>
      <w:lvlJc w:val="left"/>
      <w:pPr>
        <w:ind w:left="3600" w:hanging="360"/>
      </w:pPr>
      <w:rPr>
        <w:rFonts w:ascii="Courier New" w:hAnsi="Courier New" w:hint="default"/>
      </w:rPr>
    </w:lvl>
    <w:lvl w:ilvl="5" w:tplc="ACB2DB28" w:tentative="1">
      <w:start w:val="1"/>
      <w:numFmt w:val="bullet"/>
      <w:lvlText w:val=""/>
      <w:lvlJc w:val="left"/>
      <w:pPr>
        <w:ind w:left="4320" w:hanging="360"/>
      </w:pPr>
      <w:rPr>
        <w:rFonts w:ascii="Wingdings" w:hAnsi="Wingdings" w:hint="default"/>
      </w:rPr>
    </w:lvl>
    <w:lvl w:ilvl="6" w:tplc="2F764F68" w:tentative="1">
      <w:start w:val="1"/>
      <w:numFmt w:val="bullet"/>
      <w:lvlText w:val=""/>
      <w:lvlJc w:val="left"/>
      <w:pPr>
        <w:ind w:left="5040" w:hanging="360"/>
      </w:pPr>
      <w:rPr>
        <w:rFonts w:ascii="Symbol" w:hAnsi="Symbol" w:hint="default"/>
      </w:rPr>
    </w:lvl>
    <w:lvl w:ilvl="7" w:tplc="98789F36" w:tentative="1">
      <w:start w:val="1"/>
      <w:numFmt w:val="bullet"/>
      <w:lvlText w:val="o"/>
      <w:lvlJc w:val="left"/>
      <w:pPr>
        <w:ind w:left="5760" w:hanging="360"/>
      </w:pPr>
      <w:rPr>
        <w:rFonts w:ascii="Courier New" w:hAnsi="Courier New" w:hint="default"/>
      </w:rPr>
    </w:lvl>
    <w:lvl w:ilvl="8" w:tplc="7C10EB6E"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17FC9382">
      <w:start w:val="1"/>
      <w:numFmt w:val="upperLetter"/>
      <w:pStyle w:val="HeadingFrenchWarranty"/>
      <w:lvlText w:val="%1."/>
      <w:lvlJc w:val="left"/>
      <w:pPr>
        <w:tabs>
          <w:tab w:val="num" w:pos="360"/>
        </w:tabs>
        <w:ind w:left="360" w:hanging="360"/>
      </w:pPr>
      <w:rPr>
        <w:rFonts w:cs="Times New Roman" w:hint="default"/>
        <w:b/>
        <w:bCs/>
        <w:i w:val="0"/>
        <w:iCs w:val="0"/>
      </w:rPr>
    </w:lvl>
    <w:lvl w:ilvl="1" w:tplc="6C5C90FE">
      <w:start w:val="1"/>
      <w:numFmt w:val="lowerLetter"/>
      <w:lvlText w:val="%2."/>
      <w:lvlJc w:val="left"/>
      <w:pPr>
        <w:tabs>
          <w:tab w:val="num" w:pos="1440"/>
        </w:tabs>
        <w:ind w:left="1440" w:hanging="360"/>
      </w:pPr>
      <w:rPr>
        <w:rFonts w:cs="Times New Roman"/>
      </w:rPr>
    </w:lvl>
    <w:lvl w:ilvl="2" w:tplc="F6FE1B54">
      <w:start w:val="1"/>
      <w:numFmt w:val="lowerRoman"/>
      <w:lvlText w:val="%3."/>
      <w:lvlJc w:val="right"/>
      <w:pPr>
        <w:tabs>
          <w:tab w:val="num" w:pos="2160"/>
        </w:tabs>
        <w:ind w:left="2160" w:hanging="180"/>
      </w:pPr>
      <w:rPr>
        <w:rFonts w:cs="Times New Roman"/>
      </w:rPr>
    </w:lvl>
    <w:lvl w:ilvl="3" w:tplc="CF9C4B54">
      <w:start w:val="1"/>
      <w:numFmt w:val="decimal"/>
      <w:lvlText w:val="%4."/>
      <w:lvlJc w:val="left"/>
      <w:pPr>
        <w:tabs>
          <w:tab w:val="num" w:pos="2880"/>
        </w:tabs>
        <w:ind w:left="2880" w:hanging="360"/>
      </w:pPr>
      <w:rPr>
        <w:rFonts w:cs="Times New Roman"/>
      </w:rPr>
    </w:lvl>
    <w:lvl w:ilvl="4" w:tplc="5476C2A2">
      <w:start w:val="1"/>
      <w:numFmt w:val="lowerLetter"/>
      <w:lvlText w:val="%5."/>
      <w:lvlJc w:val="left"/>
      <w:pPr>
        <w:tabs>
          <w:tab w:val="num" w:pos="3600"/>
        </w:tabs>
        <w:ind w:left="3600" w:hanging="360"/>
      </w:pPr>
      <w:rPr>
        <w:rFonts w:cs="Times New Roman"/>
      </w:rPr>
    </w:lvl>
    <w:lvl w:ilvl="5" w:tplc="3D2E899A">
      <w:start w:val="1"/>
      <w:numFmt w:val="lowerRoman"/>
      <w:lvlText w:val="%6."/>
      <w:lvlJc w:val="right"/>
      <w:pPr>
        <w:tabs>
          <w:tab w:val="num" w:pos="4320"/>
        </w:tabs>
        <w:ind w:left="4320" w:hanging="180"/>
      </w:pPr>
      <w:rPr>
        <w:rFonts w:cs="Times New Roman"/>
      </w:rPr>
    </w:lvl>
    <w:lvl w:ilvl="6" w:tplc="74624E22">
      <w:start w:val="1"/>
      <w:numFmt w:val="decimal"/>
      <w:lvlText w:val="%7."/>
      <w:lvlJc w:val="left"/>
      <w:pPr>
        <w:tabs>
          <w:tab w:val="num" w:pos="5040"/>
        </w:tabs>
        <w:ind w:left="5040" w:hanging="360"/>
      </w:pPr>
      <w:rPr>
        <w:rFonts w:cs="Times New Roman"/>
      </w:rPr>
    </w:lvl>
    <w:lvl w:ilvl="7" w:tplc="FF9A48AC">
      <w:start w:val="1"/>
      <w:numFmt w:val="lowerLetter"/>
      <w:lvlText w:val="%8."/>
      <w:lvlJc w:val="left"/>
      <w:pPr>
        <w:tabs>
          <w:tab w:val="num" w:pos="5760"/>
        </w:tabs>
        <w:ind w:left="5760" w:hanging="360"/>
      </w:pPr>
      <w:rPr>
        <w:rFonts w:cs="Times New Roman"/>
      </w:rPr>
    </w:lvl>
    <w:lvl w:ilvl="8" w:tplc="7A126808">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B948B064">
      <w:start w:val="1"/>
      <w:numFmt w:val="bullet"/>
      <w:pStyle w:val="Bullet5"/>
      <w:lvlText w:val=""/>
      <w:lvlJc w:val="left"/>
      <w:pPr>
        <w:tabs>
          <w:tab w:val="num" w:pos="1795"/>
        </w:tabs>
        <w:ind w:left="1792" w:hanging="357"/>
      </w:pPr>
      <w:rPr>
        <w:rFonts w:ascii="Symbol" w:hAnsi="Symbol" w:hint="default"/>
      </w:rPr>
    </w:lvl>
    <w:lvl w:ilvl="1" w:tplc="908A9BB2">
      <w:start w:val="1"/>
      <w:numFmt w:val="bullet"/>
      <w:lvlText w:val="o"/>
      <w:lvlJc w:val="left"/>
      <w:pPr>
        <w:tabs>
          <w:tab w:val="num" w:pos="1440"/>
        </w:tabs>
        <w:ind w:left="1440" w:hanging="360"/>
      </w:pPr>
      <w:rPr>
        <w:rFonts w:ascii="Courier New" w:hAnsi="Courier New" w:hint="default"/>
      </w:rPr>
    </w:lvl>
    <w:lvl w:ilvl="2" w:tplc="738A03A0">
      <w:start w:val="1"/>
      <w:numFmt w:val="bullet"/>
      <w:lvlText w:val=""/>
      <w:lvlJc w:val="left"/>
      <w:pPr>
        <w:tabs>
          <w:tab w:val="num" w:pos="2160"/>
        </w:tabs>
        <w:ind w:left="2160" w:hanging="360"/>
      </w:pPr>
      <w:rPr>
        <w:rFonts w:ascii="Symbol" w:hAnsi="Symbol" w:hint="default"/>
      </w:rPr>
    </w:lvl>
    <w:lvl w:ilvl="3" w:tplc="91A035B2">
      <w:start w:val="1"/>
      <w:numFmt w:val="bullet"/>
      <w:lvlText w:val=""/>
      <w:lvlJc w:val="left"/>
      <w:pPr>
        <w:tabs>
          <w:tab w:val="num" w:pos="2880"/>
        </w:tabs>
        <w:ind w:left="2880" w:hanging="360"/>
      </w:pPr>
      <w:rPr>
        <w:rFonts w:ascii="Symbol" w:hAnsi="Symbol" w:hint="default"/>
      </w:rPr>
    </w:lvl>
    <w:lvl w:ilvl="4" w:tplc="3496E37A">
      <w:start w:val="1"/>
      <w:numFmt w:val="bullet"/>
      <w:lvlText w:val="o"/>
      <w:lvlJc w:val="left"/>
      <w:pPr>
        <w:tabs>
          <w:tab w:val="num" w:pos="3600"/>
        </w:tabs>
        <w:ind w:left="3600" w:hanging="360"/>
      </w:pPr>
      <w:rPr>
        <w:rFonts w:ascii="Courier New" w:hAnsi="Courier New" w:hint="default"/>
      </w:rPr>
    </w:lvl>
    <w:lvl w:ilvl="5" w:tplc="60783E32">
      <w:start w:val="1"/>
      <w:numFmt w:val="bullet"/>
      <w:lvlText w:val=""/>
      <w:lvlJc w:val="left"/>
      <w:pPr>
        <w:tabs>
          <w:tab w:val="num" w:pos="4320"/>
        </w:tabs>
        <w:ind w:left="4320" w:hanging="360"/>
      </w:pPr>
      <w:rPr>
        <w:rFonts w:ascii="Wingdings" w:hAnsi="Wingdings" w:hint="default"/>
      </w:rPr>
    </w:lvl>
    <w:lvl w:ilvl="6" w:tplc="58DECB5C">
      <w:start w:val="1"/>
      <w:numFmt w:val="bullet"/>
      <w:lvlText w:val=""/>
      <w:lvlJc w:val="left"/>
      <w:pPr>
        <w:tabs>
          <w:tab w:val="num" w:pos="5040"/>
        </w:tabs>
        <w:ind w:left="5040" w:hanging="360"/>
      </w:pPr>
      <w:rPr>
        <w:rFonts w:ascii="Symbol" w:hAnsi="Symbol" w:hint="default"/>
      </w:rPr>
    </w:lvl>
    <w:lvl w:ilvl="7" w:tplc="0CD6E5FC">
      <w:start w:val="1"/>
      <w:numFmt w:val="bullet"/>
      <w:lvlText w:val="o"/>
      <w:lvlJc w:val="left"/>
      <w:pPr>
        <w:tabs>
          <w:tab w:val="num" w:pos="5760"/>
        </w:tabs>
        <w:ind w:left="5760" w:hanging="360"/>
      </w:pPr>
      <w:rPr>
        <w:rFonts w:ascii="Courier New" w:hAnsi="Courier New" w:hint="default"/>
      </w:rPr>
    </w:lvl>
    <w:lvl w:ilvl="8" w:tplc="A724BC0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1D049F02">
      <w:start w:val="1"/>
      <w:numFmt w:val="bullet"/>
      <w:pStyle w:val="Bullet6"/>
      <w:lvlText w:val=""/>
      <w:lvlJc w:val="left"/>
      <w:pPr>
        <w:tabs>
          <w:tab w:val="num" w:pos="2152"/>
        </w:tabs>
        <w:ind w:left="2149" w:hanging="357"/>
      </w:pPr>
      <w:rPr>
        <w:rFonts w:ascii="Symbol" w:hAnsi="Symbol" w:hint="default"/>
      </w:rPr>
    </w:lvl>
    <w:lvl w:ilvl="1" w:tplc="9CB40C0A">
      <w:start w:val="1"/>
      <w:numFmt w:val="bullet"/>
      <w:lvlText w:val="o"/>
      <w:lvlJc w:val="left"/>
      <w:pPr>
        <w:tabs>
          <w:tab w:val="num" w:pos="1440"/>
        </w:tabs>
        <w:ind w:left="1440" w:hanging="360"/>
      </w:pPr>
      <w:rPr>
        <w:rFonts w:ascii="Courier New" w:hAnsi="Courier New" w:hint="default"/>
      </w:rPr>
    </w:lvl>
    <w:lvl w:ilvl="2" w:tplc="17B4CF0A">
      <w:start w:val="1"/>
      <w:numFmt w:val="bullet"/>
      <w:lvlText w:val=""/>
      <w:lvlJc w:val="left"/>
      <w:pPr>
        <w:tabs>
          <w:tab w:val="num" w:pos="2160"/>
        </w:tabs>
        <w:ind w:left="2160" w:hanging="360"/>
      </w:pPr>
      <w:rPr>
        <w:rFonts w:ascii="Wingdings" w:hAnsi="Wingdings" w:hint="default"/>
      </w:rPr>
    </w:lvl>
    <w:lvl w:ilvl="3" w:tplc="71B247E8">
      <w:start w:val="1"/>
      <w:numFmt w:val="bullet"/>
      <w:lvlText w:val=""/>
      <w:lvlJc w:val="left"/>
      <w:pPr>
        <w:tabs>
          <w:tab w:val="num" w:pos="2880"/>
        </w:tabs>
        <w:ind w:left="2880" w:hanging="360"/>
      </w:pPr>
      <w:rPr>
        <w:rFonts w:ascii="Symbol" w:hAnsi="Symbol" w:hint="default"/>
      </w:rPr>
    </w:lvl>
    <w:lvl w:ilvl="4" w:tplc="DEC85072">
      <w:start w:val="1"/>
      <w:numFmt w:val="bullet"/>
      <w:lvlText w:val="o"/>
      <w:lvlJc w:val="left"/>
      <w:pPr>
        <w:tabs>
          <w:tab w:val="num" w:pos="3600"/>
        </w:tabs>
        <w:ind w:left="3600" w:hanging="360"/>
      </w:pPr>
      <w:rPr>
        <w:rFonts w:ascii="Courier New" w:hAnsi="Courier New" w:hint="default"/>
      </w:rPr>
    </w:lvl>
    <w:lvl w:ilvl="5" w:tplc="8176FF76">
      <w:start w:val="1"/>
      <w:numFmt w:val="bullet"/>
      <w:lvlText w:val=""/>
      <w:lvlJc w:val="left"/>
      <w:pPr>
        <w:tabs>
          <w:tab w:val="num" w:pos="4320"/>
        </w:tabs>
        <w:ind w:left="4320" w:hanging="360"/>
      </w:pPr>
      <w:rPr>
        <w:rFonts w:ascii="Wingdings" w:hAnsi="Wingdings" w:hint="default"/>
      </w:rPr>
    </w:lvl>
    <w:lvl w:ilvl="6" w:tplc="006EE934">
      <w:start w:val="1"/>
      <w:numFmt w:val="bullet"/>
      <w:lvlText w:val=""/>
      <w:lvlJc w:val="left"/>
      <w:pPr>
        <w:tabs>
          <w:tab w:val="num" w:pos="5040"/>
        </w:tabs>
        <w:ind w:left="5040" w:hanging="360"/>
      </w:pPr>
      <w:rPr>
        <w:rFonts w:ascii="Symbol" w:hAnsi="Symbol" w:hint="default"/>
      </w:rPr>
    </w:lvl>
    <w:lvl w:ilvl="7" w:tplc="192298FA">
      <w:start w:val="1"/>
      <w:numFmt w:val="bullet"/>
      <w:lvlText w:val="o"/>
      <w:lvlJc w:val="left"/>
      <w:pPr>
        <w:tabs>
          <w:tab w:val="num" w:pos="5760"/>
        </w:tabs>
        <w:ind w:left="5760" w:hanging="360"/>
      </w:pPr>
      <w:rPr>
        <w:rFonts w:ascii="Courier New" w:hAnsi="Courier New" w:hint="default"/>
      </w:rPr>
    </w:lvl>
    <w:lvl w:ilvl="8" w:tplc="3AECC35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9AAA1A22">
      <w:start w:val="1"/>
      <w:numFmt w:val="upperLetter"/>
      <w:lvlText w:val="%1."/>
      <w:lvlJc w:val="left"/>
      <w:pPr>
        <w:ind w:left="720" w:hanging="360"/>
      </w:pPr>
      <w:rPr>
        <w:rFonts w:cs="Times New Roman" w:hint="default"/>
        <w:b/>
        <w:bCs/>
      </w:rPr>
    </w:lvl>
    <w:lvl w:ilvl="1" w:tplc="D4149738">
      <w:start w:val="1"/>
      <w:numFmt w:val="lowerLetter"/>
      <w:lvlText w:val="%2."/>
      <w:lvlJc w:val="left"/>
      <w:pPr>
        <w:ind w:left="1440" w:hanging="360"/>
      </w:pPr>
      <w:rPr>
        <w:rFonts w:cs="Times New Roman"/>
      </w:rPr>
    </w:lvl>
    <w:lvl w:ilvl="2" w:tplc="CFAEFED0" w:tentative="1">
      <w:start w:val="1"/>
      <w:numFmt w:val="lowerRoman"/>
      <w:lvlText w:val="%3."/>
      <w:lvlJc w:val="right"/>
      <w:pPr>
        <w:ind w:left="2160" w:hanging="180"/>
      </w:pPr>
      <w:rPr>
        <w:rFonts w:cs="Times New Roman"/>
      </w:rPr>
    </w:lvl>
    <w:lvl w:ilvl="3" w:tplc="1F0E9DCA" w:tentative="1">
      <w:start w:val="1"/>
      <w:numFmt w:val="decimal"/>
      <w:lvlText w:val="%4."/>
      <w:lvlJc w:val="left"/>
      <w:pPr>
        <w:ind w:left="2880" w:hanging="360"/>
      </w:pPr>
      <w:rPr>
        <w:rFonts w:cs="Times New Roman"/>
      </w:rPr>
    </w:lvl>
    <w:lvl w:ilvl="4" w:tplc="FCA4E048" w:tentative="1">
      <w:start w:val="1"/>
      <w:numFmt w:val="lowerLetter"/>
      <w:lvlText w:val="%5."/>
      <w:lvlJc w:val="left"/>
      <w:pPr>
        <w:ind w:left="3600" w:hanging="360"/>
      </w:pPr>
      <w:rPr>
        <w:rFonts w:cs="Times New Roman"/>
      </w:rPr>
    </w:lvl>
    <w:lvl w:ilvl="5" w:tplc="C4E63EF6" w:tentative="1">
      <w:start w:val="1"/>
      <w:numFmt w:val="lowerRoman"/>
      <w:lvlText w:val="%6."/>
      <w:lvlJc w:val="right"/>
      <w:pPr>
        <w:ind w:left="4320" w:hanging="180"/>
      </w:pPr>
      <w:rPr>
        <w:rFonts w:cs="Times New Roman"/>
      </w:rPr>
    </w:lvl>
    <w:lvl w:ilvl="6" w:tplc="BF40794A" w:tentative="1">
      <w:start w:val="1"/>
      <w:numFmt w:val="decimal"/>
      <w:lvlText w:val="%7."/>
      <w:lvlJc w:val="left"/>
      <w:pPr>
        <w:ind w:left="5040" w:hanging="360"/>
      </w:pPr>
      <w:rPr>
        <w:rFonts w:cs="Times New Roman"/>
      </w:rPr>
    </w:lvl>
    <w:lvl w:ilvl="7" w:tplc="AFF82C74" w:tentative="1">
      <w:start w:val="1"/>
      <w:numFmt w:val="lowerLetter"/>
      <w:lvlText w:val="%8."/>
      <w:lvlJc w:val="left"/>
      <w:pPr>
        <w:ind w:left="5760" w:hanging="360"/>
      </w:pPr>
      <w:rPr>
        <w:rFonts w:cs="Times New Roman"/>
      </w:rPr>
    </w:lvl>
    <w:lvl w:ilvl="8" w:tplc="D856054A"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58680E2A">
      <w:start w:val="1"/>
      <w:numFmt w:val="bullet"/>
      <w:pStyle w:val="Bullet1"/>
      <w:lvlText w:val=""/>
      <w:lvlJc w:val="left"/>
      <w:pPr>
        <w:tabs>
          <w:tab w:val="num" w:pos="360"/>
        </w:tabs>
        <w:ind w:left="357" w:hanging="357"/>
      </w:pPr>
      <w:rPr>
        <w:rFonts w:ascii="Symbol" w:hAnsi="Symbol" w:hint="default"/>
      </w:rPr>
    </w:lvl>
    <w:lvl w:ilvl="1" w:tplc="B694D9DC">
      <w:start w:val="1"/>
      <w:numFmt w:val="bullet"/>
      <w:lvlText w:val="o"/>
      <w:lvlJc w:val="left"/>
      <w:pPr>
        <w:tabs>
          <w:tab w:val="num" w:pos="1440"/>
        </w:tabs>
        <w:ind w:left="1440" w:hanging="360"/>
      </w:pPr>
      <w:rPr>
        <w:rFonts w:ascii="Courier New" w:hAnsi="Courier New" w:hint="default"/>
      </w:rPr>
    </w:lvl>
    <w:lvl w:ilvl="2" w:tplc="5DA267A6">
      <w:start w:val="1"/>
      <w:numFmt w:val="bullet"/>
      <w:lvlText w:val=""/>
      <w:lvlJc w:val="left"/>
      <w:pPr>
        <w:tabs>
          <w:tab w:val="num" w:pos="2160"/>
        </w:tabs>
        <w:ind w:left="2160" w:hanging="360"/>
      </w:pPr>
      <w:rPr>
        <w:rFonts w:ascii="Wingdings" w:hAnsi="Wingdings" w:hint="default"/>
      </w:rPr>
    </w:lvl>
    <w:lvl w:ilvl="3" w:tplc="D8908A18">
      <w:start w:val="1"/>
      <w:numFmt w:val="bullet"/>
      <w:lvlText w:val=""/>
      <w:lvlJc w:val="left"/>
      <w:pPr>
        <w:tabs>
          <w:tab w:val="num" w:pos="2880"/>
        </w:tabs>
        <w:ind w:left="2880" w:hanging="360"/>
      </w:pPr>
      <w:rPr>
        <w:rFonts w:ascii="Symbol" w:hAnsi="Symbol" w:hint="default"/>
      </w:rPr>
    </w:lvl>
    <w:lvl w:ilvl="4" w:tplc="37865A28">
      <w:start w:val="1"/>
      <w:numFmt w:val="bullet"/>
      <w:lvlText w:val="o"/>
      <w:lvlJc w:val="left"/>
      <w:pPr>
        <w:tabs>
          <w:tab w:val="num" w:pos="3600"/>
        </w:tabs>
        <w:ind w:left="3600" w:hanging="360"/>
      </w:pPr>
      <w:rPr>
        <w:rFonts w:ascii="Courier New" w:hAnsi="Courier New" w:hint="default"/>
      </w:rPr>
    </w:lvl>
    <w:lvl w:ilvl="5" w:tplc="1842F690">
      <w:start w:val="1"/>
      <w:numFmt w:val="bullet"/>
      <w:lvlText w:val=""/>
      <w:lvlJc w:val="left"/>
      <w:pPr>
        <w:tabs>
          <w:tab w:val="num" w:pos="4320"/>
        </w:tabs>
        <w:ind w:left="4320" w:hanging="360"/>
      </w:pPr>
      <w:rPr>
        <w:rFonts w:ascii="Wingdings" w:hAnsi="Wingdings" w:hint="default"/>
      </w:rPr>
    </w:lvl>
    <w:lvl w:ilvl="6" w:tplc="B02E6D6E">
      <w:start w:val="1"/>
      <w:numFmt w:val="bullet"/>
      <w:lvlText w:val=""/>
      <w:lvlJc w:val="left"/>
      <w:pPr>
        <w:tabs>
          <w:tab w:val="num" w:pos="5040"/>
        </w:tabs>
        <w:ind w:left="5040" w:hanging="360"/>
      </w:pPr>
      <w:rPr>
        <w:rFonts w:ascii="Symbol" w:hAnsi="Symbol" w:hint="default"/>
      </w:rPr>
    </w:lvl>
    <w:lvl w:ilvl="7" w:tplc="AEA4437C">
      <w:start w:val="1"/>
      <w:numFmt w:val="bullet"/>
      <w:lvlText w:val="o"/>
      <w:lvlJc w:val="left"/>
      <w:pPr>
        <w:tabs>
          <w:tab w:val="num" w:pos="5760"/>
        </w:tabs>
        <w:ind w:left="5760" w:hanging="360"/>
      </w:pPr>
      <w:rPr>
        <w:rFonts w:ascii="Courier New" w:hAnsi="Courier New" w:hint="default"/>
      </w:rPr>
    </w:lvl>
    <w:lvl w:ilvl="8" w:tplc="6934541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16A5D"/>
    <w:rsid w:val="000206AC"/>
    <w:rsid w:val="000234AF"/>
    <w:rsid w:val="00046260"/>
    <w:rsid w:val="00054F36"/>
    <w:rsid w:val="00063D6C"/>
    <w:rsid w:val="00075547"/>
    <w:rsid w:val="00087D93"/>
    <w:rsid w:val="00092ADD"/>
    <w:rsid w:val="0009345B"/>
    <w:rsid w:val="00093887"/>
    <w:rsid w:val="00094609"/>
    <w:rsid w:val="000D30AC"/>
    <w:rsid w:val="000D75E5"/>
    <w:rsid w:val="000E462E"/>
    <w:rsid w:val="000E7226"/>
    <w:rsid w:val="0011022C"/>
    <w:rsid w:val="0011076E"/>
    <w:rsid w:val="00116B40"/>
    <w:rsid w:val="00132C1B"/>
    <w:rsid w:val="001B2660"/>
    <w:rsid w:val="001B5AC9"/>
    <w:rsid w:val="001B788D"/>
    <w:rsid w:val="001C5759"/>
    <w:rsid w:val="001F010F"/>
    <w:rsid w:val="00203B70"/>
    <w:rsid w:val="002165F0"/>
    <w:rsid w:val="0021726D"/>
    <w:rsid w:val="0023415F"/>
    <w:rsid w:val="0026305F"/>
    <w:rsid w:val="00271461"/>
    <w:rsid w:val="00280526"/>
    <w:rsid w:val="00282039"/>
    <w:rsid w:val="00291259"/>
    <w:rsid w:val="002A0722"/>
    <w:rsid w:val="002A5E18"/>
    <w:rsid w:val="002B5432"/>
    <w:rsid w:val="002B61BD"/>
    <w:rsid w:val="002C3CD3"/>
    <w:rsid w:val="002D0C0A"/>
    <w:rsid w:val="00300B05"/>
    <w:rsid w:val="0037301E"/>
    <w:rsid w:val="003B500A"/>
    <w:rsid w:val="003B7479"/>
    <w:rsid w:val="003B79D0"/>
    <w:rsid w:val="003D2784"/>
    <w:rsid w:val="003E305D"/>
    <w:rsid w:val="004628D0"/>
    <w:rsid w:val="004730C0"/>
    <w:rsid w:val="0048051A"/>
    <w:rsid w:val="00487F19"/>
    <w:rsid w:val="004A71FC"/>
    <w:rsid w:val="004B2DC4"/>
    <w:rsid w:val="004B40A2"/>
    <w:rsid w:val="004C2CF0"/>
    <w:rsid w:val="004E1434"/>
    <w:rsid w:val="004F0BDD"/>
    <w:rsid w:val="004F2189"/>
    <w:rsid w:val="004F6156"/>
    <w:rsid w:val="00535024"/>
    <w:rsid w:val="0054177A"/>
    <w:rsid w:val="0057092F"/>
    <w:rsid w:val="00585893"/>
    <w:rsid w:val="00585F9C"/>
    <w:rsid w:val="005949D0"/>
    <w:rsid w:val="005E5224"/>
    <w:rsid w:val="005F767D"/>
    <w:rsid w:val="005F7F9A"/>
    <w:rsid w:val="00610962"/>
    <w:rsid w:val="00675AF5"/>
    <w:rsid w:val="00681F47"/>
    <w:rsid w:val="006A2B98"/>
    <w:rsid w:val="006A41B9"/>
    <w:rsid w:val="006C55E6"/>
    <w:rsid w:val="006D67D3"/>
    <w:rsid w:val="006E4FBF"/>
    <w:rsid w:val="0071730A"/>
    <w:rsid w:val="00767154"/>
    <w:rsid w:val="007869AA"/>
    <w:rsid w:val="007A1DA7"/>
    <w:rsid w:val="00815470"/>
    <w:rsid w:val="0082740D"/>
    <w:rsid w:val="008357E2"/>
    <w:rsid w:val="00836E6E"/>
    <w:rsid w:val="00860B84"/>
    <w:rsid w:val="00861D99"/>
    <w:rsid w:val="00862D38"/>
    <w:rsid w:val="00883EE6"/>
    <w:rsid w:val="008B2928"/>
    <w:rsid w:val="008B3803"/>
    <w:rsid w:val="008E1E5C"/>
    <w:rsid w:val="00926F78"/>
    <w:rsid w:val="009468E4"/>
    <w:rsid w:val="0095185A"/>
    <w:rsid w:val="00960ADA"/>
    <w:rsid w:val="0097287C"/>
    <w:rsid w:val="009B2EFB"/>
    <w:rsid w:val="009B6298"/>
    <w:rsid w:val="009D53C8"/>
    <w:rsid w:val="00A060BA"/>
    <w:rsid w:val="00A32BB6"/>
    <w:rsid w:val="00A333A7"/>
    <w:rsid w:val="00A3623A"/>
    <w:rsid w:val="00A408BD"/>
    <w:rsid w:val="00A44DF6"/>
    <w:rsid w:val="00A63628"/>
    <w:rsid w:val="00A76133"/>
    <w:rsid w:val="00AA776B"/>
    <w:rsid w:val="00AB672A"/>
    <w:rsid w:val="00AC393B"/>
    <w:rsid w:val="00AF47C8"/>
    <w:rsid w:val="00B1177C"/>
    <w:rsid w:val="00B1201A"/>
    <w:rsid w:val="00B23DFB"/>
    <w:rsid w:val="00B406AF"/>
    <w:rsid w:val="00BA3404"/>
    <w:rsid w:val="00BD5E98"/>
    <w:rsid w:val="00BE609E"/>
    <w:rsid w:val="00BF1EDE"/>
    <w:rsid w:val="00C3080D"/>
    <w:rsid w:val="00C32D04"/>
    <w:rsid w:val="00C45CAE"/>
    <w:rsid w:val="00C46E61"/>
    <w:rsid w:val="00C618CC"/>
    <w:rsid w:val="00C75044"/>
    <w:rsid w:val="00C75A58"/>
    <w:rsid w:val="00C831EA"/>
    <w:rsid w:val="00C86DC7"/>
    <w:rsid w:val="00C97391"/>
    <w:rsid w:val="00CB3804"/>
    <w:rsid w:val="00CC2BEA"/>
    <w:rsid w:val="00CE4CE1"/>
    <w:rsid w:val="00D04C7E"/>
    <w:rsid w:val="00D1164B"/>
    <w:rsid w:val="00D44C9C"/>
    <w:rsid w:val="00D56EC4"/>
    <w:rsid w:val="00D60880"/>
    <w:rsid w:val="00D83150"/>
    <w:rsid w:val="00D93778"/>
    <w:rsid w:val="00D9547A"/>
    <w:rsid w:val="00DB030B"/>
    <w:rsid w:val="00DC02A8"/>
    <w:rsid w:val="00DC070D"/>
    <w:rsid w:val="00E26362"/>
    <w:rsid w:val="00E35876"/>
    <w:rsid w:val="00E400F3"/>
    <w:rsid w:val="00E47200"/>
    <w:rsid w:val="00E73A88"/>
    <w:rsid w:val="00EF01C5"/>
    <w:rsid w:val="00EF6707"/>
    <w:rsid w:val="00F04851"/>
    <w:rsid w:val="00F0567D"/>
    <w:rsid w:val="00F1127F"/>
    <w:rsid w:val="00F15EA7"/>
    <w:rsid w:val="00F32126"/>
    <w:rsid w:val="00F46209"/>
    <w:rsid w:val="00F61089"/>
    <w:rsid w:val="00F67171"/>
    <w:rsid w:val="00F93E24"/>
    <w:rsid w:val="00F97F55"/>
    <w:rsid w:val="00FA2358"/>
    <w:rsid w:val="00FA795B"/>
    <w:rsid w:val="00FC00A3"/>
    <w:rsid w:val="00FD293A"/>
    <w:rsid w:val="00FE7D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2019-03-11T23:09:00Z</dcterms:created>
  <dcterms:modified xsi:type="dcterms:W3CDTF">2019-03-27T17:52:00Z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2019-03-27T17:52:50.3173349Z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fe902d93-eb89-4ec2-9d29-0b1bdb5cd3a6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