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657F79" w:rsidRDefault="00374428">
      <w:pPr>
        <w:pStyle w:val="HeadingEULA"/>
        <w:widowControl w:val="0"/>
        <w:rPr>
          <w:rFonts w:eastAsia="SimSun"/>
          <w:sz w:val="19"/>
          <w:szCs w:val="19"/>
        </w:rPr>
      </w:pPr>
      <w:bookmarkStart w:id="0" w:name="_GoBack"/>
      <w:bookmarkEnd w:id="0"/>
      <w:r>
        <w:rPr>
          <w:rFonts w:eastAsia="Tahoma"/>
          <w:sz w:val="19"/>
          <w:szCs w:val="19"/>
          <w:lang w:val="pl-PL"/>
        </w:rPr>
        <w:t>POSTANOWIENIA LICENCYJNE DOTYCZĄCE OPROGRAMOWANIA MICROSOFT</w:t>
      </w:r>
    </w:p>
    <w:p w14:paraId="70D81A82" w14:textId="00D919DA" w:rsidR="00F15EA7" w:rsidRPr="00657F79" w:rsidRDefault="00374428">
      <w:pPr>
        <w:pStyle w:val="HeadingSoftwareTitle"/>
        <w:widowControl w:val="0"/>
        <w:rPr>
          <w:rFonts w:eastAsia="SimSun"/>
          <w:sz w:val="19"/>
          <w:szCs w:val="19"/>
        </w:rPr>
      </w:pPr>
      <w:r>
        <w:rPr>
          <w:rFonts w:eastAsia="Tahoma"/>
          <w:sz w:val="19"/>
          <w:szCs w:val="19"/>
          <w:lang w:val="pl-PL"/>
        </w:rPr>
        <w:t xml:space="preserve">MICROSOFT VISUAL STUDIO 2019: DODATKI oraz ROZSZERZENIA  </w:t>
      </w:r>
    </w:p>
    <w:p w14:paraId="2D7DD2FB" w14:textId="77777777" w:rsidR="00F15EA7" w:rsidRPr="00374428" w:rsidRDefault="00374428">
      <w:pPr>
        <w:pStyle w:val="Preamble"/>
        <w:widowControl w:val="0"/>
        <w:rPr>
          <w:rFonts w:eastAsia="SimSun"/>
          <w:b w:val="0"/>
          <w:bCs w:val="0"/>
          <w:lang w:val="pl-PL"/>
        </w:rPr>
      </w:pPr>
      <w:r>
        <w:rPr>
          <w:rFonts w:eastAsia="Tahoma"/>
          <w:b w:val="0"/>
          <w:bCs w:val="0"/>
          <w:lang w:val="pl-PL"/>
        </w:rPr>
        <w:t>Niniejsze postanowienia licencyjne stanowią umowę między Microsoft Corporation (lub, w zależności od miejsca zamieszkania Licencjobiorcy, jednym z podmiotów stowarzyszonych Microsoft Corporation) a Licencjobiorcą. Postanowienia te dotyczą oprogramowania określonego powyżej. Niniejsze postanowienia mają również zastosowanie do wszelkich usług i aktualizacji Microsoft dla niniejszego oprogramowania, z wyjątkiem tych, którym towarzyszą inne postanowienia.</w:t>
      </w:r>
    </w:p>
    <w:p w14:paraId="4F13B46F" w14:textId="77777777" w:rsidR="00F15EA7" w:rsidRPr="00374428" w:rsidRDefault="00374428">
      <w:pPr>
        <w:pStyle w:val="PreambleBorderAbove"/>
        <w:widowControl w:val="0"/>
        <w:rPr>
          <w:rFonts w:eastAsia="SimSun"/>
          <w:lang w:val="pl-PL"/>
        </w:rPr>
      </w:pPr>
      <w:r>
        <w:rPr>
          <w:rFonts w:eastAsia="Tahoma"/>
          <w:lang w:val="pl-PL"/>
        </w:rPr>
        <w:t>JEŚLI LICENCJOBIORCA PRZESTRZEGA NINIEJSZYCH POSTANOWIEŃ LICENCYJNYCH, UZYSKUJE OPISANE PONIŻEJ PRAWA.</w:t>
      </w:r>
    </w:p>
    <w:p w14:paraId="41FDEA94" w14:textId="77777777" w:rsidR="00B406AF" w:rsidRPr="00374428" w:rsidRDefault="00374428">
      <w:pPr>
        <w:pStyle w:val="Heading1"/>
        <w:widowControl w:val="0"/>
        <w:rPr>
          <w:rFonts w:eastAsia="SimSun"/>
          <w:b w:val="0"/>
          <w:bCs w:val="0"/>
          <w:lang w:val="pt-PT"/>
        </w:rPr>
      </w:pPr>
      <w:r>
        <w:rPr>
          <w:rFonts w:eastAsia="Tahoma"/>
          <w:lang w:val="pl-PL"/>
        </w:rPr>
        <w:t>PRAWA DO INSTALACJI I UŻYWANIA.</w:t>
      </w:r>
    </w:p>
    <w:p w14:paraId="451D0AF4" w14:textId="77777777" w:rsidR="00A665F9" w:rsidRPr="00374428" w:rsidRDefault="00374428" w:rsidP="00094609">
      <w:pPr>
        <w:pStyle w:val="Heading2"/>
        <w:numPr>
          <w:ilvl w:val="0"/>
          <w:numId w:val="0"/>
        </w:numPr>
        <w:ind w:left="357"/>
        <w:rPr>
          <w:rStyle w:val="Body2Char"/>
          <w:rFonts w:eastAsia="SimSun"/>
          <w:b w:val="0"/>
          <w:bCs w:val="0"/>
          <w:lang w:val="pt-PT"/>
        </w:rPr>
      </w:pPr>
      <w:r>
        <w:rPr>
          <w:rStyle w:val="Body2Char"/>
          <w:rFonts w:eastAsia="Tahoma"/>
          <w:b w:val="0"/>
          <w:bCs w:val="0"/>
          <w:lang w:val="pl-PL"/>
        </w:rPr>
        <w:t>Licencjobiorca może dokonać instalacji i korzystać z dowolnej liczby kopii oprogramowania wyłącznie z</w:t>
      </w:r>
    </w:p>
    <w:p w14:paraId="063A0EA8" w14:textId="6F491012" w:rsidR="00A665F9" w:rsidRPr="00657F79" w:rsidRDefault="00374428" w:rsidP="00A665F9">
      <w:pPr>
        <w:pStyle w:val="Heading2"/>
        <w:numPr>
          <w:ilvl w:val="0"/>
          <w:numId w:val="18"/>
        </w:numPr>
        <w:rPr>
          <w:rStyle w:val="Body2Char"/>
          <w:rFonts w:eastAsia="SimSun"/>
          <w:b w:val="0"/>
          <w:bCs w:val="0"/>
        </w:rPr>
      </w:pPr>
      <w:r>
        <w:rPr>
          <w:rStyle w:val="Body2Char"/>
          <w:rFonts w:eastAsia="Tahoma"/>
          <w:b w:val="0"/>
          <w:bCs w:val="0"/>
          <w:lang w:val="pl-PL"/>
        </w:rPr>
        <w:t xml:space="preserve">Visual Studio Community </w:t>
      </w:r>
    </w:p>
    <w:p w14:paraId="7C50F89A" w14:textId="60FA63F2" w:rsidR="00A665F9" w:rsidRPr="00657F79" w:rsidRDefault="00374428" w:rsidP="00A665F9">
      <w:pPr>
        <w:pStyle w:val="Heading2"/>
        <w:numPr>
          <w:ilvl w:val="0"/>
          <w:numId w:val="18"/>
        </w:numPr>
        <w:rPr>
          <w:rStyle w:val="Body2Char"/>
          <w:rFonts w:eastAsia="SimSun"/>
          <w:b w:val="0"/>
          <w:bCs w:val="0"/>
        </w:rPr>
      </w:pPr>
      <w:r>
        <w:rPr>
          <w:rStyle w:val="Body2Char"/>
          <w:rFonts w:eastAsia="Tahoma"/>
          <w:b w:val="0"/>
          <w:bCs w:val="0"/>
          <w:lang w:val="pl-PL"/>
        </w:rPr>
        <w:t xml:space="preserve">Visual Studio Professional  </w:t>
      </w:r>
    </w:p>
    <w:p w14:paraId="495E2747" w14:textId="77777777" w:rsidR="00A665F9" w:rsidRPr="00657F79" w:rsidRDefault="00374428" w:rsidP="00A665F9">
      <w:pPr>
        <w:pStyle w:val="Heading2"/>
        <w:numPr>
          <w:ilvl w:val="0"/>
          <w:numId w:val="18"/>
        </w:numPr>
        <w:rPr>
          <w:rStyle w:val="Body2Char"/>
          <w:rFonts w:eastAsia="SimSun"/>
          <w:b w:val="0"/>
          <w:bCs w:val="0"/>
        </w:rPr>
      </w:pPr>
      <w:r>
        <w:rPr>
          <w:rStyle w:val="Body2Char"/>
          <w:rFonts w:eastAsia="Tahoma"/>
          <w:b w:val="0"/>
          <w:bCs w:val="0"/>
          <w:lang w:val="pl-PL"/>
        </w:rPr>
        <w:t xml:space="preserve">Visual Studio Enterprise </w:t>
      </w:r>
    </w:p>
    <w:p w14:paraId="3C15A808" w14:textId="77777777" w:rsidR="00A665F9" w:rsidRPr="00657F79" w:rsidRDefault="00374428" w:rsidP="00A665F9">
      <w:pPr>
        <w:pStyle w:val="Heading2"/>
        <w:numPr>
          <w:ilvl w:val="0"/>
          <w:numId w:val="18"/>
        </w:numPr>
        <w:rPr>
          <w:rStyle w:val="Body2Char"/>
          <w:rFonts w:eastAsia="SimSun"/>
          <w:b w:val="0"/>
          <w:bCs w:val="0"/>
        </w:rPr>
      </w:pPr>
      <w:r>
        <w:rPr>
          <w:rStyle w:val="Body2Char"/>
          <w:rFonts w:eastAsia="Tahoma"/>
          <w:b w:val="0"/>
          <w:bCs w:val="0"/>
          <w:lang w:val="pl-PL"/>
        </w:rPr>
        <w:t xml:space="preserve">Visual Studio Code </w:t>
      </w:r>
    </w:p>
    <w:p w14:paraId="25DC218F" w14:textId="77777777" w:rsidR="0054177A" w:rsidRPr="00657F79" w:rsidRDefault="00374428">
      <w:pPr>
        <w:pStyle w:val="Heading1"/>
        <w:widowControl w:val="0"/>
        <w:rPr>
          <w:rStyle w:val="Body2Char"/>
          <w:rFonts w:eastAsia="SimSun"/>
          <w:b w:val="0"/>
          <w:bCs w:val="0"/>
        </w:rPr>
      </w:pPr>
      <w:r>
        <w:rPr>
          <w:rFonts w:eastAsia="Tahoma"/>
          <w:lang w:val="pl-PL"/>
        </w:rPr>
        <w:t>POSTANOWIENIA DOTYCZĄCE POSZCZEGÓLNYCH SKŁADNIKÓW.</w:t>
      </w:r>
    </w:p>
    <w:p w14:paraId="45156E01" w14:textId="5F7178E9" w:rsidR="0054177A" w:rsidRPr="00374428" w:rsidRDefault="00374428" w:rsidP="0054177A">
      <w:pPr>
        <w:pStyle w:val="Heading2"/>
        <w:rPr>
          <w:rFonts w:eastAsia="SimSun"/>
          <w:b w:val="0"/>
          <w:lang w:val="pl-PL"/>
        </w:rPr>
      </w:pPr>
      <w:r>
        <w:rPr>
          <w:rFonts w:eastAsia="Tahoma"/>
          <w:lang w:val="pl-PL"/>
        </w:rPr>
        <w:t>Platformy Microsoft</w:t>
      </w:r>
      <w:r>
        <w:rPr>
          <w:rFonts w:eastAsia="Tahoma"/>
          <w:b w:val="0"/>
          <w:bCs w:val="0"/>
          <w:lang w:val="pl-PL"/>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w:t>
      </w:r>
      <w:r>
        <w:rPr>
          <w:rFonts w:ascii="Garamond" w:eastAsia="Garamond" w:hAnsi="Garamond"/>
          <w:b w:val="0"/>
          <w:bCs w:val="0"/>
          <w:color w:val="002060"/>
          <w:lang w:val="pl-PL"/>
        </w:rPr>
        <w:t xml:space="preserve"> </w:t>
      </w:r>
      <w:r>
        <w:rPr>
          <w:rFonts w:eastAsia="Tahoma"/>
          <w:b w:val="0"/>
          <w:bCs w:val="0"/>
          <w:lang w:val="pl-PL"/>
        </w:rPr>
        <w:t>folderze „Licencje” Microsoft dołączonym do oprogramowania, z zastrzeżeniem, że jeśli postanowienia licencyjne dotyczące tych składników umieszczono także w katalogu instalacyjnym, to takie postanowienia mają wówczas charakter nadrzędny.</w:t>
      </w:r>
    </w:p>
    <w:p w14:paraId="6229F3BA" w14:textId="64B9912F" w:rsidR="0011022C" w:rsidRPr="00374428" w:rsidRDefault="00374428" w:rsidP="0011022C">
      <w:pPr>
        <w:pStyle w:val="Heading2"/>
        <w:rPr>
          <w:b w:val="0"/>
          <w:lang w:val="pl-PL"/>
        </w:rPr>
      </w:pPr>
      <w:r>
        <w:rPr>
          <w:rFonts w:eastAsia="Tahoma"/>
          <w:lang w:val="pl-PL"/>
        </w:rPr>
        <w:t xml:space="preserve">Składniki pochodzące od innych firm. </w:t>
      </w:r>
      <w:r>
        <w:rPr>
          <w:rFonts w:eastAsia="Tahoma"/>
          <w:b w:val="0"/>
          <w:bCs w:val="0"/>
          <w:lang w:val="pl-PL"/>
        </w:rPr>
        <w:t xml:space="preserve">Oprogramowanie może zawierać składniki pochodzące od osób trzecich, objęte odrębnymi informacjami prawnymi lub podlegające innym umowom, zgodnie z ewentualnym opisem w plikach ThirdPartyNotices dołączonych do oprogramowania.  </w:t>
      </w:r>
    </w:p>
    <w:p w14:paraId="3E03ABC4" w14:textId="46435D62" w:rsidR="00657F79" w:rsidRPr="00374428" w:rsidRDefault="00374428" w:rsidP="0011022C">
      <w:pPr>
        <w:pStyle w:val="Heading2"/>
        <w:rPr>
          <w:b w:val="0"/>
          <w:lang w:val="pl-PL"/>
        </w:rPr>
      </w:pPr>
      <w:r>
        <w:rPr>
          <w:rFonts w:eastAsia="Tahoma"/>
          <w:lang w:val="pl-PL"/>
        </w:rPr>
        <w:t>Menedżery pakietów</w:t>
      </w:r>
      <w:r>
        <w:rPr>
          <w:rFonts w:eastAsia="Tahoma"/>
          <w:b w:val="0"/>
          <w:bCs w:val="0"/>
          <w:lang w:val="pl-PL"/>
        </w:rPr>
        <w:t>. Oprogramowanie zawiera menedżery pakietów, takie jak NuGet, które dają Licencjobiorcy możliwość pobierania innych pakietów oprogramowania pochodzącego od Microsoft i osób trzecich w celu używania ich w aplikacjach Licencjobiorcy. Pakiety te podlegają swoim własnym licencjom, a nie niniejszym postanowieniom licencyjnym. Microsoft nie rozpowszechnia żadnych pakietów osób trzecich, a także nie udziela na nie licencji ani żadnej gwarancji.</w:t>
      </w:r>
    </w:p>
    <w:p w14:paraId="7E781ED4" w14:textId="77777777" w:rsidR="00282039" w:rsidRPr="00657F79" w:rsidRDefault="00374428">
      <w:pPr>
        <w:pStyle w:val="Heading1"/>
        <w:widowControl w:val="0"/>
        <w:rPr>
          <w:b w:val="0"/>
        </w:rPr>
      </w:pPr>
      <w:r>
        <w:rPr>
          <w:rFonts w:eastAsia="Tahoma"/>
          <w:lang w:val="pl-PL"/>
        </w:rPr>
        <w:t>DANE</w:t>
      </w:r>
      <w:r>
        <w:rPr>
          <w:rFonts w:eastAsia="Tahoma"/>
          <w:b w:val="0"/>
          <w:bCs w:val="0"/>
          <w:lang w:val="pl-PL"/>
        </w:rPr>
        <w:t>.</w:t>
      </w:r>
    </w:p>
    <w:p w14:paraId="6143994F" w14:textId="4BBDC676" w:rsidR="0054177A" w:rsidRPr="00374428" w:rsidRDefault="00374428" w:rsidP="00282039">
      <w:pPr>
        <w:pStyle w:val="Heading2"/>
        <w:rPr>
          <w:b w:val="0"/>
          <w:lang w:val="pl-PL"/>
        </w:rPr>
      </w:pPr>
      <w:r>
        <w:rPr>
          <w:rFonts w:eastAsia="Tahoma"/>
          <w:lang w:val="pl-PL"/>
        </w:rPr>
        <w:t>Zbieranie danych</w:t>
      </w:r>
      <w:r>
        <w:rPr>
          <w:rFonts w:eastAsia="Tahoma"/>
          <w:b w:val="0"/>
          <w:bCs w:val="0"/>
          <w:lang w:val="pl-PL"/>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oprogramowania.  Istnieją również </w:t>
      </w:r>
      <w:r>
        <w:rPr>
          <w:rFonts w:eastAsia="Tahoma"/>
          <w:b w:val="0"/>
          <w:bCs w:val="0"/>
          <w:color w:val="000000"/>
          <w:lang w:val="pl-PL"/>
        </w:rPr>
        <w:t>pewne funkcje oprogramowania, które mogą umożliwiać Licencjobiorcy i Microsoft zbieranie danych od użytkowników aplikacji Licencjobiorcy.</w:t>
      </w:r>
      <w:r>
        <w:rPr>
          <w:rFonts w:eastAsia="Tahoma"/>
          <w:b w:val="0"/>
          <w:bCs w:val="0"/>
          <w:lang w:val="pl-PL"/>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w:t>
      </w:r>
      <w:r>
        <w:rPr>
          <w:rFonts w:eastAsia="Tahoma"/>
          <w:b w:val="0"/>
          <w:bCs w:val="0"/>
          <w:color w:val="000000"/>
          <w:lang w:val="pl-PL"/>
        </w:rPr>
        <w:t xml:space="preserve"> Treść oświadczenia Microsoft o ochronie prywatności można znaleźć pod adresem </w:t>
      </w:r>
      <w:hyperlink r:id="rId7" w:history="1">
        <w:r>
          <w:rPr>
            <w:rFonts w:eastAsia="Tahoma"/>
            <w:b w:val="0"/>
            <w:bCs w:val="0"/>
            <w:color w:val="0000FF"/>
            <w:u w:val="single"/>
            <w:lang w:val="pl-PL"/>
          </w:rPr>
          <w:t>https://go.microsoft.com/fwlink/?LinkID=824704</w:t>
        </w:r>
      </w:hyperlink>
      <w:r>
        <w:rPr>
          <w:rFonts w:eastAsia="Tahoma"/>
          <w:b w:val="0"/>
          <w:bCs w:val="0"/>
          <w:lang w:val="pl-PL"/>
        </w:rPr>
        <w:t>. Więcej informacji na temat zbierania i używania danych można znaleźć w dokumentacji oprogramowania i oświadczeniu Microsoft o ochronie prywatności. Używanie przez Licencjobiorcę oprogramowania oznacza zgodę Licencjobiorcy na takie działania.</w:t>
      </w:r>
    </w:p>
    <w:p w14:paraId="795D53EC" w14:textId="264023AE" w:rsidR="00282039" w:rsidRPr="00374428" w:rsidRDefault="00374428" w:rsidP="00282039">
      <w:pPr>
        <w:pStyle w:val="Heading2"/>
        <w:rPr>
          <w:b w:val="0"/>
          <w:lang w:val="pl-PL"/>
        </w:rPr>
      </w:pPr>
      <w:r>
        <w:rPr>
          <w:rFonts w:eastAsia="Tahoma"/>
          <w:lang w:val="pl-PL"/>
        </w:rPr>
        <w:t>Przetwarzanie danych osobowych.</w:t>
      </w:r>
      <w:r>
        <w:rPr>
          <w:rFonts w:eastAsia="Tahoma"/>
          <w:b w:val="0"/>
          <w:bCs w:val="0"/>
          <w:lang w:val="pl-PL"/>
        </w:rPr>
        <w:t xml:space="preserve"> W zakresie, w jakim Microsoft jest podmiotem przetwarzającym lub podwykonawcą przetwarzania danych osobowych w związku z oprogramowaniem, Microsoft z dniem 25 maja 2018 r. podejmuje wobec wszystkich klientów zobowiązania wynikające z przepisów ogólnego rozporządzenia o ochronie danych przyjętego przez UE, określone w Postanowieniach dotyczących Usług Online, które można znaleźć pod adresem </w:t>
      </w:r>
      <w:hyperlink r:id="rId8" w:history="1">
        <w:r>
          <w:rPr>
            <w:rFonts w:eastAsia="Tahoma" w:cs="Times New Roman"/>
            <w:b w:val="0"/>
            <w:bCs w:val="0"/>
            <w:color w:val="0000FF"/>
            <w:u w:val="single"/>
            <w:lang w:val="pl-PL"/>
          </w:rPr>
          <w:t>https://docs.microsoft.com/en-us/legal/gdpr</w:t>
        </w:r>
      </w:hyperlink>
      <w:r>
        <w:rPr>
          <w:rFonts w:eastAsia="Tahoma"/>
          <w:b w:val="0"/>
          <w:bCs w:val="0"/>
          <w:lang w:val="pl-PL"/>
        </w:rPr>
        <w:t>.</w:t>
      </w:r>
    </w:p>
    <w:p w14:paraId="0C6977FA" w14:textId="7E7B7795" w:rsidR="00F15EA7" w:rsidRPr="00657F79" w:rsidRDefault="00374428">
      <w:pPr>
        <w:pStyle w:val="Heading1"/>
        <w:widowControl w:val="0"/>
        <w:rPr>
          <w:rFonts w:eastAsia="SimSun"/>
          <w:b w:val="0"/>
          <w:bCs w:val="0"/>
        </w:rPr>
      </w:pPr>
      <w:r>
        <w:rPr>
          <w:rFonts w:eastAsia="Tahoma"/>
          <w:lang w:val="pl-PL"/>
        </w:rPr>
        <w:t>ZAKRES LICENCJI.</w:t>
      </w:r>
      <w:r>
        <w:rPr>
          <w:rFonts w:eastAsia="Tahoma"/>
          <w:b w:val="0"/>
          <w:bCs w:val="0"/>
          <w:lang w:val="pl-PL"/>
        </w:rPr>
        <w:t xml:space="preserve"> Oprogramowanie jest licencjonowane, a nie sprzedawane. Niniejsze postanowienia licencyjne dają Licencjobiorcy jedynie określone prawa do korzystania z oprogramowania. Microsoft zastrzega sobie wszystkie pozostałe prawa. Licencjobiorca może korzystać z oprogramowania tylko w sposób wyraźnie dozwolony w niniejszych postanowieniach licencyjnych.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Ponadto nie wolno</w:t>
      </w:r>
    </w:p>
    <w:p w14:paraId="452C7362" w14:textId="76319052" w:rsidR="00F15EA7" w:rsidRPr="00657F79" w:rsidRDefault="00374428">
      <w:pPr>
        <w:pStyle w:val="Bullet2"/>
        <w:widowControl w:val="0"/>
        <w:rPr>
          <w:rFonts w:eastAsia="SimSun"/>
        </w:rPr>
      </w:pPr>
      <w:r>
        <w:rPr>
          <w:rFonts w:eastAsia="Tahoma"/>
          <w:lang w:val="pl-PL"/>
        </w:rPr>
        <w:lastRenderedPageBreak/>
        <w:t>omijać żadnych ograniczeń technicznych oprogramowania;</w:t>
      </w:r>
    </w:p>
    <w:p w14:paraId="55534DF8" w14:textId="77777777" w:rsidR="00F15EA7" w:rsidRPr="00657F79" w:rsidRDefault="00374428">
      <w:pPr>
        <w:pStyle w:val="Bullet2"/>
        <w:widowControl w:val="0"/>
        <w:rPr>
          <w:rFonts w:eastAsia="SimSun"/>
        </w:rPr>
      </w:pPr>
      <w:r>
        <w:rPr>
          <w:rFonts w:eastAsia="Tahoma"/>
          <w:lang w:val="pl-PL"/>
        </w:rPr>
        <w:t>odtwarzać, dekompilować ani deasemblować oprogramowania, ani w inny sposób podejmować prób pozyskania kodu źródłowego z oprogramowania,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14:paraId="77E2F4FD" w14:textId="77777777" w:rsidR="00FD293A" w:rsidRPr="00657F79" w:rsidRDefault="00374428">
      <w:pPr>
        <w:pStyle w:val="Bullet2"/>
        <w:widowControl w:val="0"/>
        <w:rPr>
          <w:rFonts w:eastAsia="SimSun"/>
        </w:rPr>
      </w:pPr>
      <w:r>
        <w:rPr>
          <w:rFonts w:eastAsia="Tahoma"/>
          <w:lang w:val="pl-PL"/>
        </w:rPr>
        <w:t xml:space="preserve">usuwać, minimalizować, blokować ani modyfikować żadnych umieszczonych w oprogramowaniu powiadomień Microsoft ani dostawców Microsoft; </w:t>
      </w:r>
    </w:p>
    <w:p w14:paraId="58DD7C34" w14:textId="61A79A0B" w:rsidR="000E462E" w:rsidRPr="00657F79" w:rsidRDefault="00374428">
      <w:pPr>
        <w:pStyle w:val="Bullet2"/>
        <w:widowControl w:val="0"/>
        <w:rPr>
          <w:rFonts w:eastAsia="SimSun"/>
        </w:rPr>
      </w:pPr>
      <w:r>
        <w:rPr>
          <w:rFonts w:eastAsia="Tahoma"/>
          <w:lang w:val="pl-PL"/>
        </w:rPr>
        <w:t xml:space="preserve">używać oprogramowania w sposób niezgodny z prawem; </w:t>
      </w:r>
    </w:p>
    <w:p w14:paraId="43F2BF1E" w14:textId="75CD8F34" w:rsidR="00094609" w:rsidRPr="00657F79" w:rsidRDefault="00374428">
      <w:pPr>
        <w:pStyle w:val="Bullet2"/>
        <w:widowControl w:val="0"/>
        <w:rPr>
          <w:rFonts w:eastAsia="SimSun"/>
        </w:rPr>
      </w:pPr>
      <w:r>
        <w:rPr>
          <w:rFonts w:eastAsia="Tahoma"/>
          <w:lang w:val="pl-PL"/>
        </w:rPr>
        <w:t xml:space="preserve">udostępniać, publikować, wynajmować ani wydzierżawiać oprogramowania ani </w:t>
      </w:r>
    </w:p>
    <w:p w14:paraId="529AAEC6" w14:textId="0C623402" w:rsidR="00F15EA7" w:rsidRPr="00657F79" w:rsidRDefault="00374428">
      <w:pPr>
        <w:pStyle w:val="Bullet2"/>
        <w:widowControl w:val="0"/>
        <w:rPr>
          <w:rFonts w:eastAsia="SimSun"/>
        </w:rPr>
      </w:pPr>
      <w:r>
        <w:rPr>
          <w:rFonts w:eastAsia="Tahoma"/>
          <w:lang w:val="pl-PL"/>
        </w:rPr>
        <w:t>dostarczać oprogramowania w postaci samodzielnego rozwiązania ani łączyć go z żadną aplikacją Licencjobiorcy w celu używania go przez inne osoby ani przenosić tego oprogramowania lub niniejszej umowy na osobę trzecią.</w:t>
      </w:r>
    </w:p>
    <w:p w14:paraId="132FC9B5" w14:textId="77777777" w:rsidR="00F15EA7" w:rsidRPr="00374428" w:rsidRDefault="00374428">
      <w:pPr>
        <w:pStyle w:val="Heading1"/>
        <w:widowControl w:val="0"/>
        <w:rPr>
          <w:rStyle w:val="Hyperlink"/>
          <w:rFonts w:eastAsia="SimSun" w:cs="Tahoma"/>
          <w:b w:val="0"/>
          <w:bCs w:val="0"/>
          <w:color w:val="auto"/>
          <w:u w:val="none"/>
          <w:lang w:val="pl-PL"/>
        </w:rPr>
      </w:pPr>
      <w:r>
        <w:rPr>
          <w:rFonts w:eastAsia="Tahoma"/>
          <w:lang w:val="pl-PL"/>
        </w:rPr>
        <w:t>OGRANICZENIA EKSPORTOWE.</w:t>
      </w:r>
      <w:r>
        <w:rPr>
          <w:rFonts w:eastAsia="Tahoma"/>
          <w:b w:val="0"/>
          <w:bCs w:val="0"/>
          <w:lang w:val="pl-PL"/>
        </w:rPr>
        <w:t xml:space="preserve"> Licencjobiorca musi przestrzegać wszelkich krajowych i międzynarodowych przepisów eksportowych mających zastosowanie do oprogramowania, które obejmują ograniczenia w zakresie końcowego użytkownika, końcowego przeznaczenia i kraju przeznaczenia. Więcej informacji na temat ograniczeń eksportowych można znaleźć pod adresem </w:t>
      </w:r>
      <w:hyperlink r:id="rId9" w:history="1">
        <w:r>
          <w:rPr>
            <w:rFonts w:eastAsia="Tahoma"/>
            <w:b w:val="0"/>
            <w:bCs w:val="0"/>
            <w:color w:val="0000FF"/>
            <w:u w:val="single"/>
            <w:lang w:val="pl-PL"/>
          </w:rPr>
          <w:t>www.microsoft.com/exporting</w:t>
        </w:r>
      </w:hyperlink>
      <w:r>
        <w:rPr>
          <w:rFonts w:eastAsia="Tahoma"/>
          <w:b w:val="0"/>
          <w:bCs w:val="0"/>
          <w:lang w:val="pl-PL"/>
        </w:rPr>
        <w:t xml:space="preserve">. </w:t>
      </w:r>
    </w:p>
    <w:p w14:paraId="2B59EE2F" w14:textId="1E9CE7CC" w:rsidR="00F15EA7" w:rsidRPr="00374428" w:rsidRDefault="00374428">
      <w:pPr>
        <w:pStyle w:val="Heading1"/>
        <w:widowControl w:val="0"/>
        <w:rPr>
          <w:rFonts w:eastAsia="SimSun"/>
          <w:b w:val="0"/>
          <w:bCs w:val="0"/>
          <w:lang w:val="pl-PL"/>
        </w:rPr>
      </w:pPr>
      <w:r>
        <w:rPr>
          <w:rFonts w:eastAsia="Tahoma"/>
          <w:lang w:val="pl-PL"/>
        </w:rPr>
        <w:t xml:space="preserve">USŁUGI POMOCY TECHNICZNEJ. </w:t>
      </w:r>
      <w:r>
        <w:rPr>
          <w:rFonts w:eastAsia="Tahoma"/>
          <w:b w:val="0"/>
          <w:bCs w:val="0"/>
          <w:lang w:val="pl-PL"/>
        </w:rPr>
        <w:t>Niniejsze oprogramowanie jest udostępniane Licencjobiorcy w stanie „takim, w jakim jest”, w związku z czym Microsoft może nie świadczyć związanych z tym oprogramowaniem usług pomocy technicznej.</w:t>
      </w:r>
    </w:p>
    <w:p w14:paraId="34135B37" w14:textId="77777777" w:rsidR="00F15EA7" w:rsidRPr="00374428" w:rsidRDefault="00374428">
      <w:pPr>
        <w:pStyle w:val="Heading1"/>
        <w:widowControl w:val="0"/>
        <w:rPr>
          <w:rFonts w:eastAsia="SimSun"/>
          <w:b w:val="0"/>
          <w:bCs w:val="0"/>
          <w:lang w:val="pl-PL"/>
        </w:rPr>
      </w:pPr>
      <w:r>
        <w:rPr>
          <w:rFonts w:eastAsia="Tahoma"/>
          <w:lang w:val="pl-PL"/>
        </w:rPr>
        <w:t>CAŁOŚĆ UMOWY</w:t>
      </w:r>
      <w:r>
        <w:rPr>
          <w:rFonts w:eastAsia="Tahoma"/>
          <w:b w:val="0"/>
          <w:bCs w:val="0"/>
          <w:lang w:val="pl-PL"/>
        </w:rPr>
        <w:t>. Niniejsza umowa wraz ze wszystkimi postanowieniami dotyczącymi uzupełnień, aktualizacji, usług internetowych i usług pomocy technicznej, z których korzysta Licencjobiorca, stanowią całość umowy dotyczącej oprogramowania i usług pomocy technicznej.</w:t>
      </w:r>
    </w:p>
    <w:p w14:paraId="659F1429" w14:textId="77777777" w:rsidR="00F15EA7" w:rsidRPr="00374428" w:rsidRDefault="00374428">
      <w:pPr>
        <w:pStyle w:val="Heading1"/>
        <w:widowControl w:val="0"/>
        <w:ind w:left="360" w:hanging="360"/>
        <w:rPr>
          <w:rFonts w:eastAsia="SimSun"/>
          <w:lang w:val="pl-PL"/>
        </w:rPr>
      </w:pPr>
      <w:r>
        <w:rPr>
          <w:rFonts w:eastAsia="Tahoma"/>
          <w:lang w:val="pl-PL"/>
        </w:rPr>
        <w:t xml:space="preserve">PRAWO WŁAŚCIWE. </w:t>
      </w:r>
      <w:r>
        <w:rPr>
          <w:rFonts w:eastAsia="Tahoma"/>
          <w:b w:val="0"/>
          <w:bCs w:val="0"/>
          <w:lang w:val="pl-PL"/>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14:paraId="22D5582A" w14:textId="2723C536" w:rsidR="00E400F3" w:rsidRPr="00374428" w:rsidRDefault="00374428" w:rsidP="00E400F3">
      <w:pPr>
        <w:pStyle w:val="Heading1"/>
        <w:tabs>
          <w:tab w:val="clear" w:pos="360"/>
          <w:tab w:val="num" w:pos="540"/>
        </w:tabs>
        <w:ind w:left="360" w:hanging="360"/>
        <w:rPr>
          <w:b w:val="0"/>
          <w:lang w:val="pl-PL"/>
        </w:rPr>
      </w:pPr>
      <w:r>
        <w:rPr>
          <w:rFonts w:eastAsia="Tahoma"/>
          <w:lang w:val="pl-PL"/>
        </w:rPr>
        <w:t xml:space="preserve">PRAWA KONSUMENTA — RÓŻNICE REGIONALNE. </w:t>
      </w:r>
      <w:r>
        <w:rPr>
          <w:rFonts w:eastAsia="Tahoma"/>
          <w:b w:val="0"/>
          <w:bCs w:val="0"/>
          <w:lang w:val="pl-PL"/>
        </w:rPr>
        <w:t>W niniejszych postanowieniach licencyjnych zostały przedstawione niektóre z praw przysługujących stronom. Licencjobiorcy mogą przysługiwać inne prawa, w tym prawa konsumenta, na mocy przepisów prawa obowiązujących w stanie lub kraju Licencjobiorcy. Ponadto Licencjobiorcy mogą przysługiwać określone uprawnienia względem strony, od której nabył oprogramowanie. Niniejsza umowa nie zmienia tych innych praw, jeśli prawa przysługujące Licencjobiorcy na mocy ustawodawstwa stanowego lub krajowego nie zezwalają na takie zmiany. Na przykład jeśli Licencjobiorca nabył oprogramowanie w jednym z poniższych regionów lub w przypadku, gdy zastosowanie ma obowiązkowe prawo krajowe, wówczas Licencjobiorca podlega poniższym postanowieniom:</w:t>
      </w:r>
    </w:p>
    <w:p w14:paraId="6DA412FB" w14:textId="77777777" w:rsidR="00E400F3" w:rsidRPr="00374428" w:rsidRDefault="00374428" w:rsidP="00E400F3">
      <w:pPr>
        <w:pStyle w:val="Heading2"/>
        <w:numPr>
          <w:ilvl w:val="0"/>
          <w:numId w:val="15"/>
        </w:numPr>
        <w:rPr>
          <w:b w:val="0"/>
          <w:lang w:val="pl-PL"/>
        </w:rPr>
      </w:pPr>
      <w:r>
        <w:rPr>
          <w:rFonts w:eastAsia="Tahoma"/>
          <w:lang w:val="pl-PL"/>
        </w:rPr>
        <w:t xml:space="preserve">Australia. </w:t>
      </w:r>
      <w:r>
        <w:rPr>
          <w:rFonts w:eastAsia="Tahoma"/>
          <w:b w:val="0"/>
          <w:bCs w:val="0"/>
          <w:lang w:val="pl-PL"/>
        </w:rPr>
        <w:t>Australijska ustawa o ochronie konsumentów (Australian Consumer Law) przyznaje Licencjobiorcy określone gwarancje i żadne z zawartych w niniejszej umowie postanowień nie ma na celu ograniczenia tych uprawnień.</w:t>
      </w:r>
    </w:p>
    <w:p w14:paraId="4A790B36" w14:textId="64C88C8E" w:rsidR="00E400F3" w:rsidRPr="00374428" w:rsidRDefault="00374428" w:rsidP="00E400F3">
      <w:pPr>
        <w:pStyle w:val="Heading2"/>
        <w:numPr>
          <w:ilvl w:val="0"/>
          <w:numId w:val="15"/>
        </w:numPr>
        <w:rPr>
          <w:b w:val="0"/>
          <w:lang w:val="pl-PL"/>
        </w:rPr>
      </w:pPr>
      <w:r>
        <w:rPr>
          <w:rFonts w:eastAsia="Tahoma"/>
          <w:lang w:val="pl-PL"/>
        </w:rPr>
        <w:t xml:space="preserve">Kanada. </w:t>
      </w:r>
      <w:r>
        <w:rPr>
          <w:rFonts w:eastAsia="Tahoma"/>
          <w:b w:val="0"/>
          <w:bCs w:val="0"/>
          <w:lang w:val="pl-PL"/>
        </w:rPr>
        <w:t>Wyłączenie dostępu do Internetu powoduje zakończenie otrzymywania aktualizacji. W przypadku ponownego połączenia z Internetem, oprogramowanie ponownie rozpocznie wyszukiwanie i instalowanie aktualizacji.</w:t>
      </w:r>
    </w:p>
    <w:p w14:paraId="20B00357" w14:textId="77777777" w:rsidR="00E400F3" w:rsidRPr="00657F79" w:rsidRDefault="00374428" w:rsidP="00E400F3">
      <w:pPr>
        <w:pStyle w:val="Heading2"/>
        <w:numPr>
          <w:ilvl w:val="0"/>
          <w:numId w:val="15"/>
        </w:numPr>
        <w:rPr>
          <w:b w:val="0"/>
        </w:rPr>
      </w:pPr>
      <w:r>
        <w:rPr>
          <w:rFonts w:eastAsia="Tahoma"/>
          <w:lang w:val="pl-PL"/>
        </w:rPr>
        <w:t>Niemcy i Austria</w:t>
      </w:r>
      <w:r>
        <w:rPr>
          <w:rFonts w:eastAsia="Tahoma"/>
          <w:b w:val="0"/>
          <w:bCs w:val="0"/>
          <w:lang w:val="pl-PL"/>
        </w:rPr>
        <w:t>.</w:t>
      </w:r>
    </w:p>
    <w:p w14:paraId="1B7CE997" w14:textId="667AA185" w:rsidR="00E400F3" w:rsidRPr="00374428" w:rsidRDefault="00374428" w:rsidP="00E400F3">
      <w:pPr>
        <w:ind w:left="717"/>
        <w:rPr>
          <w:lang w:val="pl-PL"/>
        </w:rPr>
      </w:pPr>
      <w:r>
        <w:rPr>
          <w:rFonts w:eastAsia="Tahoma"/>
          <w:b/>
          <w:bCs/>
          <w:lang w:val="pl-PL"/>
        </w:rPr>
        <w:t>(i)</w:t>
      </w:r>
      <w:r>
        <w:rPr>
          <w:rFonts w:eastAsia="Tahoma"/>
          <w:b/>
          <w:bCs/>
          <w:lang w:val="pl-PL"/>
        </w:rPr>
        <w:tab/>
        <w:t>Gwarancja.</w:t>
      </w:r>
      <w:r>
        <w:rPr>
          <w:rFonts w:eastAsia="Tahoma"/>
          <w:lang w:val="pl-PL"/>
        </w:rPr>
        <w:t xml:space="preserve"> Oprogramowanie objęte właściwą licencją będzie działać zasadniczo zgodnie z opisem znajdującym się we wszelkich materiałach Microsoft towarzyszących oprogramowaniu. Jednakże Microsoft nie udziela żadnych innych umownych gwarancji ani zapewnień dotyczących licencjonowanego oprogramowania.</w:t>
      </w:r>
    </w:p>
    <w:p w14:paraId="2219F630" w14:textId="77777777" w:rsidR="00E400F3" w:rsidRPr="00374428" w:rsidRDefault="00374428" w:rsidP="00E400F3">
      <w:pPr>
        <w:ind w:left="717"/>
        <w:rPr>
          <w:lang w:val="pl-PL"/>
        </w:rPr>
      </w:pPr>
      <w:r>
        <w:rPr>
          <w:rFonts w:eastAsia="Tahoma"/>
          <w:b/>
          <w:bCs/>
          <w:lang w:val="pl-PL"/>
        </w:rPr>
        <w:t>(ii)</w:t>
      </w:r>
      <w:r>
        <w:rPr>
          <w:rFonts w:eastAsia="Tahoma"/>
          <w:lang w:val="pl-PL"/>
        </w:rPr>
        <w:tab/>
      </w:r>
      <w:r>
        <w:rPr>
          <w:rFonts w:eastAsia="Tahoma"/>
          <w:b/>
          <w:bCs/>
          <w:lang w:val="pl-PL"/>
        </w:rPr>
        <w:t>Ograniczenie odpowiedzialności.</w:t>
      </w:r>
      <w:r>
        <w:rPr>
          <w:rFonts w:eastAsia="Tahoma"/>
          <w:lang w:val="pl-PL"/>
        </w:rPr>
        <w:t xml:space="preserve"> W przypadku umyślnego działania, rażącego niedbalstwa, roszczeń opartych na Ustawie o odpowiedzialności za produkt oraz w przypadku śmierci lub uszczerbku na zdrowiu Microsoft ponosi odpowiedzialność zgodnie z przepisami bezwzględnie obowiązującymi.</w:t>
      </w:r>
    </w:p>
    <w:p w14:paraId="590648FB" w14:textId="7CC52189" w:rsidR="00E400F3" w:rsidRPr="00374428" w:rsidRDefault="00374428" w:rsidP="00E400F3">
      <w:pPr>
        <w:pStyle w:val="Heading1"/>
        <w:numPr>
          <w:ilvl w:val="0"/>
          <w:numId w:val="0"/>
        </w:numPr>
        <w:ind w:left="717"/>
        <w:rPr>
          <w:b w:val="0"/>
          <w:lang w:val="pl-PL"/>
        </w:rPr>
      </w:pPr>
      <w:r>
        <w:rPr>
          <w:rFonts w:eastAsia="Tahoma"/>
          <w:b w:val="0"/>
          <w:lang w:val="pl-PL"/>
        </w:rPr>
        <w:t>Z zastrzeżeniem postanowienia zawartego w zdaniu poprzednim (ii) Microsoft ponosi odpowiedzialność za niewielkie zaniedbanie, jeśli nie wywiązuje się ze swoich zobowiązań umownych, których realizacja ułatwia należyte wykonanie niniejszej umowy, których naruszenie stanowi zagrożenie dla realizacji celu niniejszej umowy i których spełnienie stanowi podstawę zaufania drugiej strony (tzw. istotne zobowiązania umowne). W innych przypadkach niewielkiego zaniedbania Microsoft nie ponosi za nie odpowiedzialności.</w:t>
      </w:r>
    </w:p>
    <w:p w14:paraId="612AB234" w14:textId="2B403E1A" w:rsidR="00F15EA7" w:rsidRPr="00374428" w:rsidRDefault="00374428">
      <w:pPr>
        <w:pStyle w:val="Heading1"/>
        <w:rPr>
          <w:rFonts w:eastAsia="SimSun"/>
          <w:lang w:val="pl-PL"/>
        </w:rPr>
      </w:pPr>
      <w:r>
        <w:rPr>
          <w:rFonts w:eastAsia="Tahoma"/>
          <w:lang w:val="pl-PL"/>
        </w:rPr>
        <w:t xml:space="preserve">ODRZUCENIE ODPOWIEDZIALNOŚCI Z TYTUŁU RĘKOJMI I GWARANCJI. 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LICENCJOBIORCY MICROSOFT NINIEJSZYM WYŁĄCZA SWOJĄ </w:t>
      </w:r>
      <w:r>
        <w:rPr>
          <w:rFonts w:eastAsia="Tahoma"/>
          <w:lang w:val="pl-PL"/>
        </w:rPr>
        <w:lastRenderedPageBreak/>
        <w:t>ODPOWIEDZIALNOŚĆ Z TYTUŁU DOROZUMIANEJ GWARANCJI Z TYTUŁU WARTOŚCI HANDLOWEJ, PRZYDATNOŚCI DO OKREŚLONEGO CELU ORAZ BRAKU NARUSZEŃ PRAW OSÓB TRZECICH.</w:t>
      </w:r>
    </w:p>
    <w:p w14:paraId="3E0359BF" w14:textId="77777777" w:rsidR="00F15EA7" w:rsidRPr="00374428" w:rsidRDefault="00374428">
      <w:pPr>
        <w:pStyle w:val="Heading1"/>
        <w:rPr>
          <w:lang w:val="pl-PL"/>
        </w:rPr>
      </w:pPr>
      <w:r>
        <w:rPr>
          <w:rFonts w:eastAsia="Tahoma"/>
          <w:lang w:val="pl-PL"/>
        </w:rPr>
        <w:t>OGRANICZENIE I WYŁĄCZENIE ODPOWIEDZIALNOŚCI ZA SZKODY.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14:paraId="2196BA99" w14:textId="77777777" w:rsidR="00F15EA7" w:rsidRPr="00374428" w:rsidRDefault="00374428" w:rsidP="0071730A">
      <w:pPr>
        <w:pStyle w:val="Body1"/>
        <w:widowControl w:val="0"/>
        <w:rPr>
          <w:rFonts w:eastAsia="SimSun"/>
          <w:lang w:val="pl-PL"/>
        </w:rPr>
      </w:pPr>
      <w:r>
        <w:rPr>
          <w:rFonts w:eastAsia="Tahoma"/>
          <w:lang w:val="pl-PL"/>
        </w:rPr>
        <w:t>Ograniczenie to ma zastosowanie w przypadku (a) wszelkich kwestii dotyczących oprogramowania, usług, treści (w tym kodu) udostępnianych na stronach internetowych osób trzecich lub aplikacji osób trzecich, a także w przypadku (b) roszczeń z tytułu naruszenia umowy, rękojmi, gwarancji lub zapewnień lub z tytułu odpowiedzialności obiektywnej, niedbalstwa lub czynu niedozwolonego, w zakresie dozwolonym przez prawo właściwe.</w:t>
      </w:r>
    </w:p>
    <w:p w14:paraId="2E813AA0" w14:textId="51266FC1" w:rsidR="00F15EA7" w:rsidRPr="00374428" w:rsidRDefault="00374428">
      <w:pPr>
        <w:widowControl w:val="0"/>
        <w:ind w:left="360"/>
        <w:rPr>
          <w:rFonts w:eastAsia="SimSun"/>
          <w:lang w:val="pl-PL"/>
        </w:rPr>
      </w:pPr>
      <w:r>
        <w:rPr>
          <w:rFonts w:eastAsia="Tahoma"/>
          <w:lang w:val="pl-PL"/>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14:paraId="4A9A2C82" w14:textId="17AA5890" w:rsidR="00B9660A" w:rsidRPr="00374428" w:rsidRDefault="00B9660A">
      <w:pPr>
        <w:widowControl w:val="0"/>
        <w:ind w:left="360"/>
        <w:rPr>
          <w:rFonts w:eastAsia="SimSun"/>
          <w:lang w:val="pl-PL"/>
        </w:rPr>
      </w:pPr>
    </w:p>
    <w:p w14:paraId="7D143DE9" w14:textId="0CFE479A" w:rsidR="00B9660A" w:rsidRPr="00374428" w:rsidRDefault="00374428">
      <w:pPr>
        <w:widowControl w:val="0"/>
        <w:ind w:left="360"/>
        <w:rPr>
          <w:rFonts w:eastAsia="SimSun"/>
        </w:rPr>
      </w:pPr>
      <w:r w:rsidRPr="00374428">
        <w:rPr>
          <w:rFonts w:eastAsia="SimSun"/>
        </w:rPr>
        <w:t>EUL</w:t>
      </w:r>
      <w:r>
        <w:rPr>
          <w:rFonts w:eastAsia="SimSun"/>
        </w:rPr>
        <w:t>AID: VS_2019_Extensions_PLK.1045</w:t>
      </w:r>
    </w:p>
    <w:sectPr w:rsidR="00B9660A" w:rsidRPr="00374428">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0BDA" w14:textId="77777777" w:rsidR="00AB0E3B" w:rsidRDefault="00AB0E3B" w:rsidP="00374428">
      <w:pPr>
        <w:spacing w:before="0" w:after="0"/>
      </w:pPr>
      <w:r>
        <w:separator/>
      </w:r>
    </w:p>
  </w:endnote>
  <w:endnote w:type="continuationSeparator" w:id="0">
    <w:p w14:paraId="590756CF" w14:textId="77777777" w:rsidR="00AB0E3B" w:rsidRDefault="00AB0E3B" w:rsidP="0037442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F023" w14:textId="77777777" w:rsidR="00AB0E3B" w:rsidRDefault="00AB0E3B" w:rsidP="00374428">
      <w:pPr>
        <w:spacing w:before="0" w:after="0"/>
      </w:pPr>
      <w:r>
        <w:separator/>
      </w:r>
    </w:p>
  </w:footnote>
  <w:footnote w:type="continuationSeparator" w:id="0">
    <w:p w14:paraId="2209DDC5" w14:textId="77777777" w:rsidR="00AB0E3B" w:rsidRDefault="00AB0E3B" w:rsidP="0037442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7902E8A2">
      <w:start w:val="1"/>
      <w:numFmt w:val="bullet"/>
      <w:pStyle w:val="Bullet9"/>
      <w:lvlText w:val=""/>
      <w:lvlJc w:val="left"/>
      <w:pPr>
        <w:tabs>
          <w:tab w:val="num" w:pos="3223"/>
        </w:tabs>
        <w:ind w:left="3221" w:hanging="358"/>
      </w:pPr>
      <w:rPr>
        <w:rFonts w:ascii="Symbol" w:hAnsi="Symbol" w:hint="default"/>
      </w:rPr>
    </w:lvl>
    <w:lvl w:ilvl="1" w:tplc="454CCD8E">
      <w:start w:val="1"/>
      <w:numFmt w:val="bullet"/>
      <w:lvlText w:val="o"/>
      <w:lvlJc w:val="left"/>
      <w:pPr>
        <w:tabs>
          <w:tab w:val="num" w:pos="1440"/>
        </w:tabs>
        <w:ind w:left="1440" w:hanging="360"/>
      </w:pPr>
      <w:rPr>
        <w:rFonts w:ascii="Courier New" w:hAnsi="Courier New" w:hint="default"/>
      </w:rPr>
    </w:lvl>
    <w:lvl w:ilvl="2" w:tplc="776E28B8">
      <w:start w:val="1"/>
      <w:numFmt w:val="bullet"/>
      <w:lvlText w:val=""/>
      <w:lvlJc w:val="left"/>
      <w:pPr>
        <w:tabs>
          <w:tab w:val="num" w:pos="2160"/>
        </w:tabs>
        <w:ind w:left="2160" w:hanging="360"/>
      </w:pPr>
      <w:rPr>
        <w:rFonts w:ascii="Wingdings" w:hAnsi="Wingdings" w:hint="default"/>
      </w:rPr>
    </w:lvl>
    <w:lvl w:ilvl="3" w:tplc="61BE4EAE">
      <w:start w:val="1"/>
      <w:numFmt w:val="bullet"/>
      <w:lvlText w:val=""/>
      <w:lvlJc w:val="left"/>
      <w:pPr>
        <w:tabs>
          <w:tab w:val="num" w:pos="2880"/>
        </w:tabs>
        <w:ind w:left="2880" w:hanging="360"/>
      </w:pPr>
      <w:rPr>
        <w:rFonts w:ascii="Symbol" w:hAnsi="Symbol" w:hint="default"/>
      </w:rPr>
    </w:lvl>
    <w:lvl w:ilvl="4" w:tplc="E2E28756">
      <w:start w:val="1"/>
      <w:numFmt w:val="bullet"/>
      <w:lvlText w:val="o"/>
      <w:lvlJc w:val="left"/>
      <w:pPr>
        <w:tabs>
          <w:tab w:val="num" w:pos="3600"/>
        </w:tabs>
        <w:ind w:left="3600" w:hanging="360"/>
      </w:pPr>
      <w:rPr>
        <w:rFonts w:ascii="Courier New" w:hAnsi="Courier New" w:hint="default"/>
      </w:rPr>
    </w:lvl>
    <w:lvl w:ilvl="5" w:tplc="525045EC">
      <w:start w:val="1"/>
      <w:numFmt w:val="bullet"/>
      <w:lvlText w:val=""/>
      <w:lvlJc w:val="left"/>
      <w:pPr>
        <w:tabs>
          <w:tab w:val="num" w:pos="4320"/>
        </w:tabs>
        <w:ind w:left="4320" w:hanging="360"/>
      </w:pPr>
      <w:rPr>
        <w:rFonts w:ascii="Wingdings" w:hAnsi="Wingdings" w:hint="default"/>
      </w:rPr>
    </w:lvl>
    <w:lvl w:ilvl="6" w:tplc="EF38C360">
      <w:start w:val="1"/>
      <w:numFmt w:val="bullet"/>
      <w:lvlText w:val=""/>
      <w:lvlJc w:val="left"/>
      <w:pPr>
        <w:tabs>
          <w:tab w:val="num" w:pos="5040"/>
        </w:tabs>
        <w:ind w:left="5040" w:hanging="360"/>
      </w:pPr>
      <w:rPr>
        <w:rFonts w:ascii="Symbol" w:hAnsi="Symbol" w:hint="default"/>
      </w:rPr>
    </w:lvl>
    <w:lvl w:ilvl="7" w:tplc="BB08977C">
      <w:start w:val="1"/>
      <w:numFmt w:val="bullet"/>
      <w:lvlText w:val="o"/>
      <w:lvlJc w:val="left"/>
      <w:pPr>
        <w:tabs>
          <w:tab w:val="num" w:pos="5760"/>
        </w:tabs>
        <w:ind w:left="5760" w:hanging="360"/>
      </w:pPr>
      <w:rPr>
        <w:rFonts w:ascii="Courier New" w:hAnsi="Courier New" w:hint="default"/>
      </w:rPr>
    </w:lvl>
    <w:lvl w:ilvl="8" w:tplc="1CE4CE7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DC50A8CA">
      <w:start w:val="1"/>
      <w:numFmt w:val="bullet"/>
      <w:pStyle w:val="Bullet2"/>
      <w:lvlText w:val=""/>
      <w:lvlJc w:val="left"/>
      <w:pPr>
        <w:tabs>
          <w:tab w:val="num" w:pos="720"/>
        </w:tabs>
        <w:ind w:left="720" w:hanging="363"/>
      </w:pPr>
      <w:rPr>
        <w:rFonts w:ascii="Symbol" w:hAnsi="Symbol" w:hint="default"/>
      </w:rPr>
    </w:lvl>
    <w:lvl w:ilvl="1" w:tplc="DAA0E9F4">
      <w:start w:val="1"/>
      <w:numFmt w:val="bullet"/>
      <w:lvlText w:val="o"/>
      <w:lvlJc w:val="left"/>
      <w:pPr>
        <w:tabs>
          <w:tab w:val="num" w:pos="1440"/>
        </w:tabs>
        <w:ind w:left="1440" w:hanging="360"/>
      </w:pPr>
      <w:rPr>
        <w:rFonts w:ascii="Courier New" w:hAnsi="Courier New" w:hint="default"/>
      </w:rPr>
    </w:lvl>
    <w:lvl w:ilvl="2" w:tplc="E33E7110">
      <w:start w:val="1"/>
      <w:numFmt w:val="bullet"/>
      <w:lvlText w:val=""/>
      <w:lvlJc w:val="left"/>
      <w:pPr>
        <w:tabs>
          <w:tab w:val="num" w:pos="2160"/>
        </w:tabs>
        <w:ind w:left="2160" w:hanging="360"/>
      </w:pPr>
      <w:rPr>
        <w:rFonts w:ascii="Wingdings" w:hAnsi="Wingdings" w:hint="default"/>
      </w:rPr>
    </w:lvl>
    <w:lvl w:ilvl="3" w:tplc="D3A2AC92">
      <w:start w:val="1"/>
      <w:numFmt w:val="bullet"/>
      <w:lvlText w:val=""/>
      <w:lvlJc w:val="left"/>
      <w:pPr>
        <w:tabs>
          <w:tab w:val="num" w:pos="2880"/>
        </w:tabs>
        <w:ind w:left="2880" w:hanging="360"/>
      </w:pPr>
      <w:rPr>
        <w:rFonts w:ascii="Symbol" w:hAnsi="Symbol" w:hint="default"/>
      </w:rPr>
    </w:lvl>
    <w:lvl w:ilvl="4" w:tplc="F6A6C298">
      <w:start w:val="1"/>
      <w:numFmt w:val="bullet"/>
      <w:lvlText w:val="o"/>
      <w:lvlJc w:val="left"/>
      <w:pPr>
        <w:tabs>
          <w:tab w:val="num" w:pos="3600"/>
        </w:tabs>
        <w:ind w:left="3600" w:hanging="360"/>
      </w:pPr>
      <w:rPr>
        <w:rFonts w:ascii="Courier New" w:hAnsi="Courier New" w:hint="default"/>
      </w:rPr>
    </w:lvl>
    <w:lvl w:ilvl="5" w:tplc="CBD4F974">
      <w:start w:val="1"/>
      <w:numFmt w:val="bullet"/>
      <w:lvlText w:val=""/>
      <w:lvlJc w:val="left"/>
      <w:pPr>
        <w:tabs>
          <w:tab w:val="num" w:pos="4320"/>
        </w:tabs>
        <w:ind w:left="4320" w:hanging="360"/>
      </w:pPr>
      <w:rPr>
        <w:rFonts w:ascii="Wingdings" w:hAnsi="Wingdings" w:hint="default"/>
      </w:rPr>
    </w:lvl>
    <w:lvl w:ilvl="6" w:tplc="61600BC4">
      <w:start w:val="1"/>
      <w:numFmt w:val="bullet"/>
      <w:lvlText w:val=""/>
      <w:lvlJc w:val="left"/>
      <w:pPr>
        <w:tabs>
          <w:tab w:val="num" w:pos="5040"/>
        </w:tabs>
        <w:ind w:left="5040" w:hanging="360"/>
      </w:pPr>
      <w:rPr>
        <w:rFonts w:ascii="Symbol" w:hAnsi="Symbol" w:hint="default"/>
      </w:rPr>
    </w:lvl>
    <w:lvl w:ilvl="7" w:tplc="DA12A5EC">
      <w:start w:val="1"/>
      <w:numFmt w:val="bullet"/>
      <w:lvlText w:val="o"/>
      <w:lvlJc w:val="left"/>
      <w:pPr>
        <w:tabs>
          <w:tab w:val="num" w:pos="5760"/>
        </w:tabs>
        <w:ind w:left="5760" w:hanging="360"/>
      </w:pPr>
      <w:rPr>
        <w:rFonts w:ascii="Courier New" w:hAnsi="Courier New" w:hint="default"/>
      </w:rPr>
    </w:lvl>
    <w:lvl w:ilvl="8" w:tplc="E22672A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E23A600A">
      <w:start w:val="1"/>
      <w:numFmt w:val="bullet"/>
      <w:pStyle w:val="Bullet8"/>
      <w:lvlText w:val=""/>
      <w:lvlJc w:val="left"/>
      <w:pPr>
        <w:tabs>
          <w:tab w:val="num" w:pos="2866"/>
        </w:tabs>
        <w:ind w:left="2863" w:hanging="357"/>
      </w:pPr>
      <w:rPr>
        <w:rFonts w:ascii="Symbol" w:hAnsi="Symbol" w:hint="default"/>
      </w:rPr>
    </w:lvl>
    <w:lvl w:ilvl="1" w:tplc="E7D8CCA8">
      <w:start w:val="1"/>
      <w:numFmt w:val="bullet"/>
      <w:lvlText w:val="o"/>
      <w:lvlJc w:val="left"/>
      <w:pPr>
        <w:tabs>
          <w:tab w:val="num" w:pos="1440"/>
        </w:tabs>
        <w:ind w:left="1440" w:hanging="360"/>
      </w:pPr>
      <w:rPr>
        <w:rFonts w:ascii="Courier New" w:hAnsi="Courier New" w:hint="default"/>
      </w:rPr>
    </w:lvl>
    <w:lvl w:ilvl="2" w:tplc="D8BAF37A">
      <w:start w:val="1"/>
      <w:numFmt w:val="bullet"/>
      <w:lvlText w:val=""/>
      <w:lvlJc w:val="left"/>
      <w:pPr>
        <w:tabs>
          <w:tab w:val="num" w:pos="2160"/>
        </w:tabs>
        <w:ind w:left="2160" w:hanging="360"/>
      </w:pPr>
      <w:rPr>
        <w:rFonts w:ascii="Wingdings" w:hAnsi="Wingdings" w:hint="default"/>
      </w:rPr>
    </w:lvl>
    <w:lvl w:ilvl="3" w:tplc="40CEA306">
      <w:start w:val="1"/>
      <w:numFmt w:val="bullet"/>
      <w:lvlText w:val=""/>
      <w:lvlJc w:val="left"/>
      <w:pPr>
        <w:tabs>
          <w:tab w:val="num" w:pos="2880"/>
        </w:tabs>
        <w:ind w:left="2880" w:hanging="360"/>
      </w:pPr>
      <w:rPr>
        <w:rFonts w:ascii="Symbol" w:hAnsi="Symbol" w:hint="default"/>
      </w:rPr>
    </w:lvl>
    <w:lvl w:ilvl="4" w:tplc="89F0439E">
      <w:start w:val="1"/>
      <w:numFmt w:val="bullet"/>
      <w:lvlText w:val="o"/>
      <w:lvlJc w:val="left"/>
      <w:pPr>
        <w:tabs>
          <w:tab w:val="num" w:pos="3600"/>
        </w:tabs>
        <w:ind w:left="3600" w:hanging="360"/>
      </w:pPr>
      <w:rPr>
        <w:rFonts w:ascii="Courier New" w:hAnsi="Courier New" w:hint="default"/>
      </w:rPr>
    </w:lvl>
    <w:lvl w:ilvl="5" w:tplc="54F83CE4">
      <w:start w:val="1"/>
      <w:numFmt w:val="bullet"/>
      <w:lvlText w:val=""/>
      <w:lvlJc w:val="left"/>
      <w:pPr>
        <w:tabs>
          <w:tab w:val="num" w:pos="4320"/>
        </w:tabs>
        <w:ind w:left="4320" w:hanging="360"/>
      </w:pPr>
      <w:rPr>
        <w:rFonts w:ascii="Wingdings" w:hAnsi="Wingdings" w:hint="default"/>
      </w:rPr>
    </w:lvl>
    <w:lvl w:ilvl="6" w:tplc="458428C0">
      <w:start w:val="1"/>
      <w:numFmt w:val="bullet"/>
      <w:lvlText w:val=""/>
      <w:lvlJc w:val="left"/>
      <w:pPr>
        <w:tabs>
          <w:tab w:val="num" w:pos="5040"/>
        </w:tabs>
        <w:ind w:left="5040" w:hanging="360"/>
      </w:pPr>
      <w:rPr>
        <w:rFonts w:ascii="Symbol" w:hAnsi="Symbol" w:hint="default"/>
      </w:rPr>
    </w:lvl>
    <w:lvl w:ilvl="7" w:tplc="A6907ADE">
      <w:start w:val="1"/>
      <w:numFmt w:val="bullet"/>
      <w:lvlText w:val="o"/>
      <w:lvlJc w:val="left"/>
      <w:pPr>
        <w:tabs>
          <w:tab w:val="num" w:pos="5760"/>
        </w:tabs>
        <w:ind w:left="5760" w:hanging="360"/>
      </w:pPr>
      <w:rPr>
        <w:rFonts w:ascii="Courier New" w:hAnsi="Courier New" w:hint="default"/>
      </w:rPr>
    </w:lvl>
    <w:lvl w:ilvl="8" w:tplc="009A6CD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E38E5FB0">
      <w:start w:val="1"/>
      <w:numFmt w:val="bullet"/>
      <w:lvlText w:val=""/>
      <w:lvlJc w:val="left"/>
      <w:pPr>
        <w:ind w:left="1077" w:hanging="360"/>
      </w:pPr>
      <w:rPr>
        <w:rFonts w:ascii="Symbol" w:hAnsi="Symbol" w:hint="default"/>
      </w:rPr>
    </w:lvl>
    <w:lvl w:ilvl="1" w:tplc="5B3ED40C" w:tentative="1">
      <w:start w:val="1"/>
      <w:numFmt w:val="bullet"/>
      <w:lvlText w:val="o"/>
      <w:lvlJc w:val="left"/>
      <w:pPr>
        <w:ind w:left="1797" w:hanging="360"/>
      </w:pPr>
      <w:rPr>
        <w:rFonts w:ascii="Courier New" w:hAnsi="Courier New" w:hint="default"/>
      </w:rPr>
    </w:lvl>
    <w:lvl w:ilvl="2" w:tplc="78B65952" w:tentative="1">
      <w:start w:val="1"/>
      <w:numFmt w:val="bullet"/>
      <w:lvlText w:val=""/>
      <w:lvlJc w:val="left"/>
      <w:pPr>
        <w:ind w:left="2517" w:hanging="360"/>
      </w:pPr>
      <w:rPr>
        <w:rFonts w:ascii="Wingdings" w:hAnsi="Wingdings" w:hint="default"/>
      </w:rPr>
    </w:lvl>
    <w:lvl w:ilvl="3" w:tplc="EFF40904" w:tentative="1">
      <w:start w:val="1"/>
      <w:numFmt w:val="bullet"/>
      <w:lvlText w:val=""/>
      <w:lvlJc w:val="left"/>
      <w:pPr>
        <w:ind w:left="3237" w:hanging="360"/>
      </w:pPr>
      <w:rPr>
        <w:rFonts w:ascii="Symbol" w:hAnsi="Symbol" w:hint="default"/>
      </w:rPr>
    </w:lvl>
    <w:lvl w:ilvl="4" w:tplc="28A6BFC8" w:tentative="1">
      <w:start w:val="1"/>
      <w:numFmt w:val="bullet"/>
      <w:lvlText w:val="o"/>
      <w:lvlJc w:val="left"/>
      <w:pPr>
        <w:ind w:left="3957" w:hanging="360"/>
      </w:pPr>
      <w:rPr>
        <w:rFonts w:ascii="Courier New" w:hAnsi="Courier New" w:hint="default"/>
      </w:rPr>
    </w:lvl>
    <w:lvl w:ilvl="5" w:tplc="E64C91E2" w:tentative="1">
      <w:start w:val="1"/>
      <w:numFmt w:val="bullet"/>
      <w:lvlText w:val=""/>
      <w:lvlJc w:val="left"/>
      <w:pPr>
        <w:ind w:left="4677" w:hanging="360"/>
      </w:pPr>
      <w:rPr>
        <w:rFonts w:ascii="Wingdings" w:hAnsi="Wingdings" w:hint="default"/>
      </w:rPr>
    </w:lvl>
    <w:lvl w:ilvl="6" w:tplc="32AC5922" w:tentative="1">
      <w:start w:val="1"/>
      <w:numFmt w:val="bullet"/>
      <w:lvlText w:val=""/>
      <w:lvlJc w:val="left"/>
      <w:pPr>
        <w:ind w:left="5397" w:hanging="360"/>
      </w:pPr>
      <w:rPr>
        <w:rFonts w:ascii="Symbol" w:hAnsi="Symbol" w:hint="default"/>
      </w:rPr>
    </w:lvl>
    <w:lvl w:ilvl="7" w:tplc="F95A7D64" w:tentative="1">
      <w:start w:val="1"/>
      <w:numFmt w:val="bullet"/>
      <w:lvlText w:val="o"/>
      <w:lvlJc w:val="left"/>
      <w:pPr>
        <w:ind w:left="6117" w:hanging="360"/>
      </w:pPr>
      <w:rPr>
        <w:rFonts w:ascii="Courier New" w:hAnsi="Courier New" w:hint="default"/>
      </w:rPr>
    </w:lvl>
    <w:lvl w:ilvl="8" w:tplc="F142F7CE"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7F264EC4">
      <w:start w:val="1"/>
      <w:numFmt w:val="bullet"/>
      <w:pStyle w:val="Bullet7"/>
      <w:lvlText w:val=""/>
      <w:lvlJc w:val="left"/>
      <w:pPr>
        <w:tabs>
          <w:tab w:val="num" w:pos="2509"/>
        </w:tabs>
        <w:ind w:left="2506" w:hanging="357"/>
      </w:pPr>
      <w:rPr>
        <w:rFonts w:ascii="Symbol" w:hAnsi="Symbol" w:hint="default"/>
      </w:rPr>
    </w:lvl>
    <w:lvl w:ilvl="1" w:tplc="3E861D26">
      <w:start w:val="1"/>
      <w:numFmt w:val="bullet"/>
      <w:lvlText w:val="o"/>
      <w:lvlJc w:val="left"/>
      <w:pPr>
        <w:tabs>
          <w:tab w:val="num" w:pos="1440"/>
        </w:tabs>
        <w:ind w:left="1440" w:hanging="360"/>
      </w:pPr>
      <w:rPr>
        <w:rFonts w:ascii="Courier New" w:hAnsi="Courier New" w:hint="default"/>
      </w:rPr>
    </w:lvl>
    <w:lvl w:ilvl="2" w:tplc="94CA9BA6">
      <w:start w:val="1"/>
      <w:numFmt w:val="bullet"/>
      <w:lvlText w:val=""/>
      <w:lvlJc w:val="left"/>
      <w:pPr>
        <w:tabs>
          <w:tab w:val="num" w:pos="2160"/>
        </w:tabs>
        <w:ind w:left="2160" w:hanging="360"/>
      </w:pPr>
      <w:rPr>
        <w:rFonts w:ascii="Wingdings" w:hAnsi="Wingdings" w:hint="default"/>
      </w:rPr>
    </w:lvl>
    <w:lvl w:ilvl="3" w:tplc="98A8CC78">
      <w:start w:val="1"/>
      <w:numFmt w:val="bullet"/>
      <w:lvlText w:val=""/>
      <w:lvlJc w:val="left"/>
      <w:pPr>
        <w:tabs>
          <w:tab w:val="num" w:pos="2880"/>
        </w:tabs>
        <w:ind w:left="2880" w:hanging="360"/>
      </w:pPr>
      <w:rPr>
        <w:rFonts w:ascii="Symbol" w:hAnsi="Symbol" w:hint="default"/>
      </w:rPr>
    </w:lvl>
    <w:lvl w:ilvl="4" w:tplc="B5284BF0">
      <w:start w:val="1"/>
      <w:numFmt w:val="bullet"/>
      <w:lvlText w:val="o"/>
      <w:lvlJc w:val="left"/>
      <w:pPr>
        <w:tabs>
          <w:tab w:val="num" w:pos="3600"/>
        </w:tabs>
        <w:ind w:left="3600" w:hanging="360"/>
      </w:pPr>
      <w:rPr>
        <w:rFonts w:ascii="Courier New" w:hAnsi="Courier New" w:hint="default"/>
      </w:rPr>
    </w:lvl>
    <w:lvl w:ilvl="5" w:tplc="8E12CDDA">
      <w:start w:val="1"/>
      <w:numFmt w:val="bullet"/>
      <w:lvlText w:val=""/>
      <w:lvlJc w:val="left"/>
      <w:pPr>
        <w:tabs>
          <w:tab w:val="num" w:pos="4320"/>
        </w:tabs>
        <w:ind w:left="4320" w:hanging="360"/>
      </w:pPr>
      <w:rPr>
        <w:rFonts w:ascii="Wingdings" w:hAnsi="Wingdings" w:hint="default"/>
      </w:rPr>
    </w:lvl>
    <w:lvl w:ilvl="6" w:tplc="CD88690A">
      <w:start w:val="1"/>
      <w:numFmt w:val="bullet"/>
      <w:lvlText w:val=""/>
      <w:lvlJc w:val="left"/>
      <w:pPr>
        <w:tabs>
          <w:tab w:val="num" w:pos="5040"/>
        </w:tabs>
        <w:ind w:left="5040" w:hanging="360"/>
      </w:pPr>
      <w:rPr>
        <w:rFonts w:ascii="Symbol" w:hAnsi="Symbol" w:hint="default"/>
      </w:rPr>
    </w:lvl>
    <w:lvl w:ilvl="7" w:tplc="19486032">
      <w:start w:val="1"/>
      <w:numFmt w:val="bullet"/>
      <w:lvlText w:val="o"/>
      <w:lvlJc w:val="left"/>
      <w:pPr>
        <w:tabs>
          <w:tab w:val="num" w:pos="5760"/>
        </w:tabs>
        <w:ind w:left="5760" w:hanging="360"/>
      </w:pPr>
      <w:rPr>
        <w:rFonts w:ascii="Courier New" w:hAnsi="Courier New" w:hint="default"/>
      </w:rPr>
    </w:lvl>
    <w:lvl w:ilvl="8" w:tplc="DFB6FF3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9536B4C0">
      <w:start w:val="1"/>
      <w:numFmt w:val="bullet"/>
      <w:pStyle w:val="Bullet4"/>
      <w:lvlText w:val=""/>
      <w:lvlJc w:val="left"/>
      <w:pPr>
        <w:tabs>
          <w:tab w:val="num" w:pos="1437"/>
        </w:tabs>
        <w:ind w:left="1435" w:hanging="358"/>
      </w:pPr>
      <w:rPr>
        <w:rFonts w:ascii="Symbol" w:hAnsi="Symbol" w:hint="default"/>
        <w:color w:val="000000" w:themeColor="text1"/>
      </w:rPr>
    </w:lvl>
    <w:lvl w:ilvl="1" w:tplc="AC221CE8">
      <w:start w:val="1"/>
      <w:numFmt w:val="bullet"/>
      <w:lvlText w:val="o"/>
      <w:lvlJc w:val="left"/>
      <w:pPr>
        <w:tabs>
          <w:tab w:val="num" w:pos="1440"/>
        </w:tabs>
        <w:ind w:left="1440" w:hanging="360"/>
      </w:pPr>
      <w:rPr>
        <w:rFonts w:ascii="Courier New" w:hAnsi="Courier New" w:hint="default"/>
      </w:rPr>
    </w:lvl>
    <w:lvl w:ilvl="2" w:tplc="610C83A0">
      <w:start w:val="1"/>
      <w:numFmt w:val="bullet"/>
      <w:lvlText w:val=""/>
      <w:lvlJc w:val="left"/>
      <w:pPr>
        <w:tabs>
          <w:tab w:val="num" w:pos="2160"/>
        </w:tabs>
        <w:ind w:left="2160" w:hanging="360"/>
      </w:pPr>
      <w:rPr>
        <w:rFonts w:ascii="Wingdings" w:hAnsi="Wingdings" w:hint="default"/>
      </w:rPr>
    </w:lvl>
    <w:lvl w:ilvl="3" w:tplc="108AC014">
      <w:start w:val="1"/>
      <w:numFmt w:val="bullet"/>
      <w:lvlText w:val=""/>
      <w:lvlJc w:val="left"/>
      <w:pPr>
        <w:tabs>
          <w:tab w:val="num" w:pos="2880"/>
        </w:tabs>
        <w:ind w:left="2880" w:hanging="360"/>
      </w:pPr>
      <w:rPr>
        <w:rFonts w:ascii="Symbol" w:hAnsi="Symbol" w:hint="default"/>
      </w:rPr>
    </w:lvl>
    <w:lvl w:ilvl="4" w:tplc="7A2ECDF2">
      <w:start w:val="1"/>
      <w:numFmt w:val="bullet"/>
      <w:lvlText w:val="o"/>
      <w:lvlJc w:val="left"/>
      <w:pPr>
        <w:tabs>
          <w:tab w:val="num" w:pos="3600"/>
        </w:tabs>
        <w:ind w:left="3600" w:hanging="360"/>
      </w:pPr>
      <w:rPr>
        <w:rFonts w:ascii="Courier New" w:hAnsi="Courier New" w:hint="default"/>
      </w:rPr>
    </w:lvl>
    <w:lvl w:ilvl="5" w:tplc="5D10AC10">
      <w:start w:val="1"/>
      <w:numFmt w:val="bullet"/>
      <w:lvlText w:val=""/>
      <w:lvlJc w:val="left"/>
      <w:pPr>
        <w:tabs>
          <w:tab w:val="num" w:pos="4320"/>
        </w:tabs>
        <w:ind w:left="4320" w:hanging="360"/>
      </w:pPr>
      <w:rPr>
        <w:rFonts w:ascii="Wingdings" w:hAnsi="Wingdings" w:hint="default"/>
      </w:rPr>
    </w:lvl>
    <w:lvl w:ilvl="6" w:tplc="62DACAE6">
      <w:start w:val="1"/>
      <w:numFmt w:val="bullet"/>
      <w:lvlText w:val=""/>
      <w:lvlJc w:val="left"/>
      <w:pPr>
        <w:tabs>
          <w:tab w:val="num" w:pos="5040"/>
        </w:tabs>
        <w:ind w:left="5040" w:hanging="360"/>
      </w:pPr>
      <w:rPr>
        <w:rFonts w:ascii="Symbol" w:hAnsi="Symbol" w:hint="default"/>
      </w:rPr>
    </w:lvl>
    <w:lvl w:ilvl="7" w:tplc="7EE495B8">
      <w:start w:val="1"/>
      <w:numFmt w:val="bullet"/>
      <w:lvlText w:val="o"/>
      <w:lvlJc w:val="left"/>
      <w:pPr>
        <w:tabs>
          <w:tab w:val="num" w:pos="5760"/>
        </w:tabs>
        <w:ind w:left="5760" w:hanging="360"/>
      </w:pPr>
      <w:rPr>
        <w:rFonts w:ascii="Courier New" w:hAnsi="Courier New" w:hint="default"/>
      </w:rPr>
    </w:lvl>
    <w:lvl w:ilvl="8" w:tplc="5EE031F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20C6B9CA">
      <w:start w:val="1"/>
      <w:numFmt w:val="bullet"/>
      <w:pStyle w:val="Bullet3"/>
      <w:lvlText w:val=""/>
      <w:lvlJc w:val="left"/>
      <w:pPr>
        <w:tabs>
          <w:tab w:val="num" w:pos="1080"/>
        </w:tabs>
        <w:ind w:left="1077" w:hanging="357"/>
      </w:pPr>
      <w:rPr>
        <w:rFonts w:ascii="Symbol" w:hAnsi="Symbol" w:hint="default"/>
      </w:rPr>
    </w:lvl>
    <w:lvl w:ilvl="1" w:tplc="2E76DC32">
      <w:start w:val="1"/>
      <w:numFmt w:val="bullet"/>
      <w:lvlText w:val="o"/>
      <w:lvlJc w:val="left"/>
      <w:pPr>
        <w:tabs>
          <w:tab w:val="num" w:pos="1440"/>
        </w:tabs>
        <w:ind w:left="1440" w:hanging="360"/>
      </w:pPr>
      <w:rPr>
        <w:rFonts w:ascii="Courier New" w:hAnsi="Courier New" w:hint="default"/>
      </w:rPr>
    </w:lvl>
    <w:lvl w:ilvl="2" w:tplc="1AB4DCD6">
      <w:start w:val="1"/>
      <w:numFmt w:val="bullet"/>
      <w:lvlText w:val=""/>
      <w:lvlJc w:val="left"/>
      <w:pPr>
        <w:tabs>
          <w:tab w:val="num" w:pos="2160"/>
        </w:tabs>
        <w:ind w:left="2160" w:hanging="360"/>
      </w:pPr>
      <w:rPr>
        <w:rFonts w:ascii="Wingdings" w:hAnsi="Wingdings" w:hint="default"/>
      </w:rPr>
    </w:lvl>
    <w:lvl w:ilvl="3" w:tplc="9BBCE09A">
      <w:start w:val="1"/>
      <w:numFmt w:val="bullet"/>
      <w:lvlText w:val=""/>
      <w:lvlJc w:val="left"/>
      <w:pPr>
        <w:tabs>
          <w:tab w:val="num" w:pos="2880"/>
        </w:tabs>
        <w:ind w:left="2880" w:hanging="360"/>
      </w:pPr>
      <w:rPr>
        <w:rFonts w:ascii="Symbol" w:hAnsi="Symbol" w:hint="default"/>
      </w:rPr>
    </w:lvl>
    <w:lvl w:ilvl="4" w:tplc="EE62B0FE">
      <w:start w:val="1"/>
      <w:numFmt w:val="bullet"/>
      <w:lvlText w:val="o"/>
      <w:lvlJc w:val="left"/>
      <w:pPr>
        <w:tabs>
          <w:tab w:val="num" w:pos="3600"/>
        </w:tabs>
        <w:ind w:left="3600" w:hanging="360"/>
      </w:pPr>
      <w:rPr>
        <w:rFonts w:ascii="Courier New" w:hAnsi="Courier New" w:hint="default"/>
      </w:rPr>
    </w:lvl>
    <w:lvl w:ilvl="5" w:tplc="AC6AF5CA">
      <w:start w:val="1"/>
      <w:numFmt w:val="bullet"/>
      <w:lvlText w:val=""/>
      <w:lvlJc w:val="left"/>
      <w:pPr>
        <w:tabs>
          <w:tab w:val="num" w:pos="4320"/>
        </w:tabs>
        <w:ind w:left="4320" w:hanging="360"/>
      </w:pPr>
      <w:rPr>
        <w:rFonts w:ascii="Wingdings" w:hAnsi="Wingdings" w:hint="default"/>
      </w:rPr>
    </w:lvl>
    <w:lvl w:ilvl="6" w:tplc="0B70403E">
      <w:start w:val="1"/>
      <w:numFmt w:val="bullet"/>
      <w:lvlText w:val=""/>
      <w:lvlJc w:val="left"/>
      <w:pPr>
        <w:tabs>
          <w:tab w:val="num" w:pos="5040"/>
        </w:tabs>
        <w:ind w:left="5040" w:hanging="360"/>
      </w:pPr>
      <w:rPr>
        <w:rFonts w:ascii="Symbol" w:hAnsi="Symbol" w:hint="default"/>
      </w:rPr>
    </w:lvl>
    <w:lvl w:ilvl="7" w:tplc="1578DD48">
      <w:start w:val="1"/>
      <w:numFmt w:val="bullet"/>
      <w:lvlText w:val="o"/>
      <w:lvlJc w:val="left"/>
      <w:pPr>
        <w:tabs>
          <w:tab w:val="num" w:pos="5760"/>
        </w:tabs>
        <w:ind w:left="5760" w:hanging="360"/>
      </w:pPr>
      <w:rPr>
        <w:rFonts w:ascii="Courier New" w:hAnsi="Courier New" w:hint="default"/>
      </w:rPr>
    </w:lvl>
    <w:lvl w:ilvl="8" w:tplc="B7C4559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EB62CB60">
      <w:start w:val="1"/>
      <w:numFmt w:val="bullet"/>
      <w:lvlText w:val=""/>
      <w:lvlJc w:val="left"/>
      <w:pPr>
        <w:ind w:left="720" w:hanging="360"/>
      </w:pPr>
      <w:rPr>
        <w:rFonts w:ascii="Symbol" w:hAnsi="Symbol" w:hint="default"/>
      </w:rPr>
    </w:lvl>
    <w:lvl w:ilvl="1" w:tplc="B00A130A" w:tentative="1">
      <w:start w:val="1"/>
      <w:numFmt w:val="bullet"/>
      <w:lvlText w:val="o"/>
      <w:lvlJc w:val="left"/>
      <w:pPr>
        <w:ind w:left="1440" w:hanging="360"/>
      </w:pPr>
      <w:rPr>
        <w:rFonts w:ascii="Courier New" w:hAnsi="Courier New" w:hint="default"/>
      </w:rPr>
    </w:lvl>
    <w:lvl w:ilvl="2" w:tplc="D518A838" w:tentative="1">
      <w:start w:val="1"/>
      <w:numFmt w:val="bullet"/>
      <w:lvlText w:val=""/>
      <w:lvlJc w:val="left"/>
      <w:pPr>
        <w:ind w:left="2160" w:hanging="360"/>
      </w:pPr>
      <w:rPr>
        <w:rFonts w:ascii="Wingdings" w:hAnsi="Wingdings" w:hint="default"/>
      </w:rPr>
    </w:lvl>
    <w:lvl w:ilvl="3" w:tplc="08086ED4" w:tentative="1">
      <w:start w:val="1"/>
      <w:numFmt w:val="bullet"/>
      <w:lvlText w:val=""/>
      <w:lvlJc w:val="left"/>
      <w:pPr>
        <w:ind w:left="2880" w:hanging="360"/>
      </w:pPr>
      <w:rPr>
        <w:rFonts w:ascii="Symbol" w:hAnsi="Symbol" w:hint="default"/>
      </w:rPr>
    </w:lvl>
    <w:lvl w:ilvl="4" w:tplc="56C09FAE" w:tentative="1">
      <w:start w:val="1"/>
      <w:numFmt w:val="bullet"/>
      <w:lvlText w:val="o"/>
      <w:lvlJc w:val="left"/>
      <w:pPr>
        <w:ind w:left="3600" w:hanging="360"/>
      </w:pPr>
      <w:rPr>
        <w:rFonts w:ascii="Courier New" w:hAnsi="Courier New" w:hint="default"/>
      </w:rPr>
    </w:lvl>
    <w:lvl w:ilvl="5" w:tplc="60A05A80" w:tentative="1">
      <w:start w:val="1"/>
      <w:numFmt w:val="bullet"/>
      <w:lvlText w:val=""/>
      <w:lvlJc w:val="left"/>
      <w:pPr>
        <w:ind w:left="4320" w:hanging="360"/>
      </w:pPr>
      <w:rPr>
        <w:rFonts w:ascii="Wingdings" w:hAnsi="Wingdings" w:hint="default"/>
      </w:rPr>
    </w:lvl>
    <w:lvl w:ilvl="6" w:tplc="635C1ADC" w:tentative="1">
      <w:start w:val="1"/>
      <w:numFmt w:val="bullet"/>
      <w:lvlText w:val=""/>
      <w:lvlJc w:val="left"/>
      <w:pPr>
        <w:ind w:left="5040" w:hanging="360"/>
      </w:pPr>
      <w:rPr>
        <w:rFonts w:ascii="Symbol" w:hAnsi="Symbol" w:hint="default"/>
      </w:rPr>
    </w:lvl>
    <w:lvl w:ilvl="7" w:tplc="D13A361E" w:tentative="1">
      <w:start w:val="1"/>
      <w:numFmt w:val="bullet"/>
      <w:lvlText w:val="o"/>
      <w:lvlJc w:val="left"/>
      <w:pPr>
        <w:ind w:left="5760" w:hanging="360"/>
      </w:pPr>
      <w:rPr>
        <w:rFonts w:ascii="Courier New" w:hAnsi="Courier New" w:hint="default"/>
      </w:rPr>
    </w:lvl>
    <w:lvl w:ilvl="8" w:tplc="8056DF82"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A388416A">
      <w:start w:val="1"/>
      <w:numFmt w:val="upperLetter"/>
      <w:pStyle w:val="HeadingFrenchWarranty"/>
      <w:lvlText w:val="%1."/>
      <w:lvlJc w:val="left"/>
      <w:pPr>
        <w:tabs>
          <w:tab w:val="num" w:pos="360"/>
        </w:tabs>
        <w:ind w:left="360" w:hanging="360"/>
      </w:pPr>
      <w:rPr>
        <w:rFonts w:cs="Times New Roman" w:hint="default"/>
        <w:b/>
        <w:bCs/>
        <w:i w:val="0"/>
        <w:iCs w:val="0"/>
      </w:rPr>
    </w:lvl>
    <w:lvl w:ilvl="1" w:tplc="FDE260C4">
      <w:start w:val="1"/>
      <w:numFmt w:val="lowerLetter"/>
      <w:lvlText w:val="%2."/>
      <w:lvlJc w:val="left"/>
      <w:pPr>
        <w:tabs>
          <w:tab w:val="num" w:pos="1440"/>
        </w:tabs>
        <w:ind w:left="1440" w:hanging="360"/>
      </w:pPr>
      <w:rPr>
        <w:rFonts w:cs="Times New Roman"/>
      </w:rPr>
    </w:lvl>
    <w:lvl w:ilvl="2" w:tplc="C70835AE">
      <w:start w:val="1"/>
      <w:numFmt w:val="lowerRoman"/>
      <w:lvlText w:val="%3."/>
      <w:lvlJc w:val="right"/>
      <w:pPr>
        <w:tabs>
          <w:tab w:val="num" w:pos="2160"/>
        </w:tabs>
        <w:ind w:left="2160" w:hanging="180"/>
      </w:pPr>
      <w:rPr>
        <w:rFonts w:cs="Times New Roman"/>
      </w:rPr>
    </w:lvl>
    <w:lvl w:ilvl="3" w:tplc="B52C11C4">
      <w:start w:val="1"/>
      <w:numFmt w:val="decimal"/>
      <w:lvlText w:val="%4."/>
      <w:lvlJc w:val="left"/>
      <w:pPr>
        <w:tabs>
          <w:tab w:val="num" w:pos="2880"/>
        </w:tabs>
        <w:ind w:left="2880" w:hanging="360"/>
      </w:pPr>
      <w:rPr>
        <w:rFonts w:cs="Times New Roman"/>
      </w:rPr>
    </w:lvl>
    <w:lvl w:ilvl="4" w:tplc="CAF4A126">
      <w:start w:val="1"/>
      <w:numFmt w:val="lowerLetter"/>
      <w:lvlText w:val="%5."/>
      <w:lvlJc w:val="left"/>
      <w:pPr>
        <w:tabs>
          <w:tab w:val="num" w:pos="3600"/>
        </w:tabs>
        <w:ind w:left="3600" w:hanging="360"/>
      </w:pPr>
      <w:rPr>
        <w:rFonts w:cs="Times New Roman"/>
      </w:rPr>
    </w:lvl>
    <w:lvl w:ilvl="5" w:tplc="C310C5C2">
      <w:start w:val="1"/>
      <w:numFmt w:val="lowerRoman"/>
      <w:lvlText w:val="%6."/>
      <w:lvlJc w:val="right"/>
      <w:pPr>
        <w:tabs>
          <w:tab w:val="num" w:pos="4320"/>
        </w:tabs>
        <w:ind w:left="4320" w:hanging="180"/>
      </w:pPr>
      <w:rPr>
        <w:rFonts w:cs="Times New Roman"/>
      </w:rPr>
    </w:lvl>
    <w:lvl w:ilvl="6" w:tplc="173C9A22">
      <w:start w:val="1"/>
      <w:numFmt w:val="decimal"/>
      <w:lvlText w:val="%7."/>
      <w:lvlJc w:val="left"/>
      <w:pPr>
        <w:tabs>
          <w:tab w:val="num" w:pos="5040"/>
        </w:tabs>
        <w:ind w:left="5040" w:hanging="360"/>
      </w:pPr>
      <w:rPr>
        <w:rFonts w:cs="Times New Roman"/>
      </w:rPr>
    </w:lvl>
    <w:lvl w:ilvl="7" w:tplc="A490D1D4">
      <w:start w:val="1"/>
      <w:numFmt w:val="lowerLetter"/>
      <w:lvlText w:val="%8."/>
      <w:lvlJc w:val="left"/>
      <w:pPr>
        <w:tabs>
          <w:tab w:val="num" w:pos="5760"/>
        </w:tabs>
        <w:ind w:left="5760" w:hanging="360"/>
      </w:pPr>
      <w:rPr>
        <w:rFonts w:cs="Times New Roman"/>
      </w:rPr>
    </w:lvl>
    <w:lvl w:ilvl="8" w:tplc="50A426FC">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2C4E15C0">
      <w:start w:val="1"/>
      <w:numFmt w:val="bullet"/>
      <w:pStyle w:val="Bullet5"/>
      <w:lvlText w:val=""/>
      <w:lvlJc w:val="left"/>
      <w:pPr>
        <w:tabs>
          <w:tab w:val="num" w:pos="1795"/>
        </w:tabs>
        <w:ind w:left="1792" w:hanging="357"/>
      </w:pPr>
      <w:rPr>
        <w:rFonts w:ascii="Symbol" w:hAnsi="Symbol" w:hint="default"/>
      </w:rPr>
    </w:lvl>
    <w:lvl w:ilvl="1" w:tplc="E9528908">
      <w:start w:val="1"/>
      <w:numFmt w:val="bullet"/>
      <w:lvlText w:val="o"/>
      <w:lvlJc w:val="left"/>
      <w:pPr>
        <w:tabs>
          <w:tab w:val="num" w:pos="1440"/>
        </w:tabs>
        <w:ind w:left="1440" w:hanging="360"/>
      </w:pPr>
      <w:rPr>
        <w:rFonts w:ascii="Courier New" w:hAnsi="Courier New" w:hint="default"/>
      </w:rPr>
    </w:lvl>
    <w:lvl w:ilvl="2" w:tplc="632ACD76">
      <w:start w:val="1"/>
      <w:numFmt w:val="bullet"/>
      <w:lvlText w:val=""/>
      <w:lvlJc w:val="left"/>
      <w:pPr>
        <w:tabs>
          <w:tab w:val="num" w:pos="2160"/>
        </w:tabs>
        <w:ind w:left="2160" w:hanging="360"/>
      </w:pPr>
      <w:rPr>
        <w:rFonts w:ascii="Symbol" w:hAnsi="Symbol" w:hint="default"/>
      </w:rPr>
    </w:lvl>
    <w:lvl w:ilvl="3" w:tplc="ACB2BACE">
      <w:start w:val="1"/>
      <w:numFmt w:val="bullet"/>
      <w:lvlText w:val=""/>
      <w:lvlJc w:val="left"/>
      <w:pPr>
        <w:tabs>
          <w:tab w:val="num" w:pos="2880"/>
        </w:tabs>
        <w:ind w:left="2880" w:hanging="360"/>
      </w:pPr>
      <w:rPr>
        <w:rFonts w:ascii="Symbol" w:hAnsi="Symbol" w:hint="default"/>
      </w:rPr>
    </w:lvl>
    <w:lvl w:ilvl="4" w:tplc="1538661C">
      <w:start w:val="1"/>
      <w:numFmt w:val="bullet"/>
      <w:lvlText w:val="o"/>
      <w:lvlJc w:val="left"/>
      <w:pPr>
        <w:tabs>
          <w:tab w:val="num" w:pos="3600"/>
        </w:tabs>
        <w:ind w:left="3600" w:hanging="360"/>
      </w:pPr>
      <w:rPr>
        <w:rFonts w:ascii="Courier New" w:hAnsi="Courier New" w:hint="default"/>
      </w:rPr>
    </w:lvl>
    <w:lvl w:ilvl="5" w:tplc="C33A2574">
      <w:start w:val="1"/>
      <w:numFmt w:val="bullet"/>
      <w:lvlText w:val=""/>
      <w:lvlJc w:val="left"/>
      <w:pPr>
        <w:tabs>
          <w:tab w:val="num" w:pos="4320"/>
        </w:tabs>
        <w:ind w:left="4320" w:hanging="360"/>
      </w:pPr>
      <w:rPr>
        <w:rFonts w:ascii="Wingdings" w:hAnsi="Wingdings" w:hint="default"/>
      </w:rPr>
    </w:lvl>
    <w:lvl w:ilvl="6" w:tplc="2E7E19F6">
      <w:start w:val="1"/>
      <w:numFmt w:val="bullet"/>
      <w:lvlText w:val=""/>
      <w:lvlJc w:val="left"/>
      <w:pPr>
        <w:tabs>
          <w:tab w:val="num" w:pos="5040"/>
        </w:tabs>
        <w:ind w:left="5040" w:hanging="360"/>
      </w:pPr>
      <w:rPr>
        <w:rFonts w:ascii="Symbol" w:hAnsi="Symbol" w:hint="default"/>
      </w:rPr>
    </w:lvl>
    <w:lvl w:ilvl="7" w:tplc="43BE5ECC">
      <w:start w:val="1"/>
      <w:numFmt w:val="bullet"/>
      <w:lvlText w:val="o"/>
      <w:lvlJc w:val="left"/>
      <w:pPr>
        <w:tabs>
          <w:tab w:val="num" w:pos="5760"/>
        </w:tabs>
        <w:ind w:left="5760" w:hanging="360"/>
      </w:pPr>
      <w:rPr>
        <w:rFonts w:ascii="Courier New" w:hAnsi="Courier New" w:hint="default"/>
      </w:rPr>
    </w:lvl>
    <w:lvl w:ilvl="8" w:tplc="34ACFBE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25405D26">
      <w:start w:val="1"/>
      <w:numFmt w:val="bullet"/>
      <w:pStyle w:val="Bullet6"/>
      <w:lvlText w:val=""/>
      <w:lvlJc w:val="left"/>
      <w:pPr>
        <w:tabs>
          <w:tab w:val="num" w:pos="2152"/>
        </w:tabs>
        <w:ind w:left="2149" w:hanging="357"/>
      </w:pPr>
      <w:rPr>
        <w:rFonts w:ascii="Symbol" w:hAnsi="Symbol" w:hint="default"/>
      </w:rPr>
    </w:lvl>
    <w:lvl w:ilvl="1" w:tplc="0FC41064">
      <w:start w:val="1"/>
      <w:numFmt w:val="bullet"/>
      <w:lvlText w:val="o"/>
      <w:lvlJc w:val="left"/>
      <w:pPr>
        <w:tabs>
          <w:tab w:val="num" w:pos="1440"/>
        </w:tabs>
        <w:ind w:left="1440" w:hanging="360"/>
      </w:pPr>
      <w:rPr>
        <w:rFonts w:ascii="Courier New" w:hAnsi="Courier New" w:hint="default"/>
      </w:rPr>
    </w:lvl>
    <w:lvl w:ilvl="2" w:tplc="2A625294">
      <w:start w:val="1"/>
      <w:numFmt w:val="bullet"/>
      <w:lvlText w:val=""/>
      <w:lvlJc w:val="left"/>
      <w:pPr>
        <w:tabs>
          <w:tab w:val="num" w:pos="2160"/>
        </w:tabs>
        <w:ind w:left="2160" w:hanging="360"/>
      </w:pPr>
      <w:rPr>
        <w:rFonts w:ascii="Wingdings" w:hAnsi="Wingdings" w:hint="default"/>
      </w:rPr>
    </w:lvl>
    <w:lvl w:ilvl="3" w:tplc="69F4385E">
      <w:start w:val="1"/>
      <w:numFmt w:val="bullet"/>
      <w:lvlText w:val=""/>
      <w:lvlJc w:val="left"/>
      <w:pPr>
        <w:tabs>
          <w:tab w:val="num" w:pos="2880"/>
        </w:tabs>
        <w:ind w:left="2880" w:hanging="360"/>
      </w:pPr>
      <w:rPr>
        <w:rFonts w:ascii="Symbol" w:hAnsi="Symbol" w:hint="default"/>
      </w:rPr>
    </w:lvl>
    <w:lvl w:ilvl="4" w:tplc="E8129274">
      <w:start w:val="1"/>
      <w:numFmt w:val="bullet"/>
      <w:lvlText w:val="o"/>
      <w:lvlJc w:val="left"/>
      <w:pPr>
        <w:tabs>
          <w:tab w:val="num" w:pos="3600"/>
        </w:tabs>
        <w:ind w:left="3600" w:hanging="360"/>
      </w:pPr>
      <w:rPr>
        <w:rFonts w:ascii="Courier New" w:hAnsi="Courier New" w:hint="default"/>
      </w:rPr>
    </w:lvl>
    <w:lvl w:ilvl="5" w:tplc="0F58E836">
      <w:start w:val="1"/>
      <w:numFmt w:val="bullet"/>
      <w:lvlText w:val=""/>
      <w:lvlJc w:val="left"/>
      <w:pPr>
        <w:tabs>
          <w:tab w:val="num" w:pos="4320"/>
        </w:tabs>
        <w:ind w:left="4320" w:hanging="360"/>
      </w:pPr>
      <w:rPr>
        <w:rFonts w:ascii="Wingdings" w:hAnsi="Wingdings" w:hint="default"/>
      </w:rPr>
    </w:lvl>
    <w:lvl w:ilvl="6" w:tplc="1BCA5D1E">
      <w:start w:val="1"/>
      <w:numFmt w:val="bullet"/>
      <w:lvlText w:val=""/>
      <w:lvlJc w:val="left"/>
      <w:pPr>
        <w:tabs>
          <w:tab w:val="num" w:pos="5040"/>
        </w:tabs>
        <w:ind w:left="5040" w:hanging="360"/>
      </w:pPr>
      <w:rPr>
        <w:rFonts w:ascii="Symbol" w:hAnsi="Symbol" w:hint="default"/>
      </w:rPr>
    </w:lvl>
    <w:lvl w:ilvl="7" w:tplc="D5524C44">
      <w:start w:val="1"/>
      <w:numFmt w:val="bullet"/>
      <w:lvlText w:val="o"/>
      <w:lvlJc w:val="left"/>
      <w:pPr>
        <w:tabs>
          <w:tab w:val="num" w:pos="5760"/>
        </w:tabs>
        <w:ind w:left="5760" w:hanging="360"/>
      </w:pPr>
      <w:rPr>
        <w:rFonts w:ascii="Courier New" w:hAnsi="Courier New" w:hint="default"/>
      </w:rPr>
    </w:lvl>
    <w:lvl w:ilvl="8" w:tplc="3294B10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7AE40E6C">
      <w:start w:val="1"/>
      <w:numFmt w:val="upperLetter"/>
      <w:lvlText w:val="%1."/>
      <w:lvlJc w:val="left"/>
      <w:pPr>
        <w:ind w:left="720" w:hanging="360"/>
      </w:pPr>
      <w:rPr>
        <w:rFonts w:cs="Times New Roman" w:hint="default"/>
        <w:b/>
        <w:bCs/>
      </w:rPr>
    </w:lvl>
    <w:lvl w:ilvl="1" w:tplc="9E186A80">
      <w:start w:val="1"/>
      <w:numFmt w:val="lowerLetter"/>
      <w:lvlText w:val="%2."/>
      <w:lvlJc w:val="left"/>
      <w:pPr>
        <w:ind w:left="1440" w:hanging="360"/>
      </w:pPr>
      <w:rPr>
        <w:rFonts w:cs="Times New Roman"/>
      </w:rPr>
    </w:lvl>
    <w:lvl w:ilvl="2" w:tplc="393AF77A" w:tentative="1">
      <w:start w:val="1"/>
      <w:numFmt w:val="lowerRoman"/>
      <w:lvlText w:val="%3."/>
      <w:lvlJc w:val="right"/>
      <w:pPr>
        <w:ind w:left="2160" w:hanging="180"/>
      </w:pPr>
      <w:rPr>
        <w:rFonts w:cs="Times New Roman"/>
      </w:rPr>
    </w:lvl>
    <w:lvl w:ilvl="3" w:tplc="C4127F56" w:tentative="1">
      <w:start w:val="1"/>
      <w:numFmt w:val="decimal"/>
      <w:lvlText w:val="%4."/>
      <w:lvlJc w:val="left"/>
      <w:pPr>
        <w:ind w:left="2880" w:hanging="360"/>
      </w:pPr>
      <w:rPr>
        <w:rFonts w:cs="Times New Roman"/>
      </w:rPr>
    </w:lvl>
    <w:lvl w:ilvl="4" w:tplc="9E7C76AC" w:tentative="1">
      <w:start w:val="1"/>
      <w:numFmt w:val="lowerLetter"/>
      <w:lvlText w:val="%5."/>
      <w:lvlJc w:val="left"/>
      <w:pPr>
        <w:ind w:left="3600" w:hanging="360"/>
      </w:pPr>
      <w:rPr>
        <w:rFonts w:cs="Times New Roman"/>
      </w:rPr>
    </w:lvl>
    <w:lvl w:ilvl="5" w:tplc="11E019D2" w:tentative="1">
      <w:start w:val="1"/>
      <w:numFmt w:val="lowerRoman"/>
      <w:lvlText w:val="%6."/>
      <w:lvlJc w:val="right"/>
      <w:pPr>
        <w:ind w:left="4320" w:hanging="180"/>
      </w:pPr>
      <w:rPr>
        <w:rFonts w:cs="Times New Roman"/>
      </w:rPr>
    </w:lvl>
    <w:lvl w:ilvl="6" w:tplc="D8C8102A" w:tentative="1">
      <w:start w:val="1"/>
      <w:numFmt w:val="decimal"/>
      <w:lvlText w:val="%7."/>
      <w:lvlJc w:val="left"/>
      <w:pPr>
        <w:ind w:left="5040" w:hanging="360"/>
      </w:pPr>
      <w:rPr>
        <w:rFonts w:cs="Times New Roman"/>
      </w:rPr>
    </w:lvl>
    <w:lvl w:ilvl="7" w:tplc="7EBC5F24" w:tentative="1">
      <w:start w:val="1"/>
      <w:numFmt w:val="lowerLetter"/>
      <w:lvlText w:val="%8."/>
      <w:lvlJc w:val="left"/>
      <w:pPr>
        <w:ind w:left="5760" w:hanging="360"/>
      </w:pPr>
      <w:rPr>
        <w:rFonts w:cs="Times New Roman"/>
      </w:rPr>
    </w:lvl>
    <w:lvl w:ilvl="8" w:tplc="486A8C72"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784C74FC">
      <w:start w:val="1"/>
      <w:numFmt w:val="bullet"/>
      <w:pStyle w:val="Bullet1"/>
      <w:lvlText w:val=""/>
      <w:lvlJc w:val="left"/>
      <w:pPr>
        <w:tabs>
          <w:tab w:val="num" w:pos="360"/>
        </w:tabs>
        <w:ind w:left="357" w:hanging="357"/>
      </w:pPr>
      <w:rPr>
        <w:rFonts w:ascii="Symbol" w:hAnsi="Symbol" w:hint="default"/>
      </w:rPr>
    </w:lvl>
    <w:lvl w:ilvl="1" w:tplc="89B45542">
      <w:start w:val="1"/>
      <w:numFmt w:val="bullet"/>
      <w:lvlText w:val="o"/>
      <w:lvlJc w:val="left"/>
      <w:pPr>
        <w:tabs>
          <w:tab w:val="num" w:pos="1440"/>
        </w:tabs>
        <w:ind w:left="1440" w:hanging="360"/>
      </w:pPr>
      <w:rPr>
        <w:rFonts w:ascii="Courier New" w:hAnsi="Courier New" w:hint="default"/>
      </w:rPr>
    </w:lvl>
    <w:lvl w:ilvl="2" w:tplc="438E2F2A">
      <w:start w:val="1"/>
      <w:numFmt w:val="bullet"/>
      <w:lvlText w:val=""/>
      <w:lvlJc w:val="left"/>
      <w:pPr>
        <w:tabs>
          <w:tab w:val="num" w:pos="2160"/>
        </w:tabs>
        <w:ind w:left="2160" w:hanging="360"/>
      </w:pPr>
      <w:rPr>
        <w:rFonts w:ascii="Wingdings" w:hAnsi="Wingdings" w:hint="default"/>
      </w:rPr>
    </w:lvl>
    <w:lvl w:ilvl="3" w:tplc="E286C2F6">
      <w:start w:val="1"/>
      <w:numFmt w:val="bullet"/>
      <w:lvlText w:val=""/>
      <w:lvlJc w:val="left"/>
      <w:pPr>
        <w:tabs>
          <w:tab w:val="num" w:pos="2880"/>
        </w:tabs>
        <w:ind w:left="2880" w:hanging="360"/>
      </w:pPr>
      <w:rPr>
        <w:rFonts w:ascii="Symbol" w:hAnsi="Symbol" w:hint="default"/>
      </w:rPr>
    </w:lvl>
    <w:lvl w:ilvl="4" w:tplc="E688A112">
      <w:start w:val="1"/>
      <w:numFmt w:val="bullet"/>
      <w:lvlText w:val="o"/>
      <w:lvlJc w:val="left"/>
      <w:pPr>
        <w:tabs>
          <w:tab w:val="num" w:pos="3600"/>
        </w:tabs>
        <w:ind w:left="3600" w:hanging="360"/>
      </w:pPr>
      <w:rPr>
        <w:rFonts w:ascii="Courier New" w:hAnsi="Courier New" w:hint="default"/>
      </w:rPr>
    </w:lvl>
    <w:lvl w:ilvl="5" w:tplc="D7AECA6C">
      <w:start w:val="1"/>
      <w:numFmt w:val="bullet"/>
      <w:lvlText w:val=""/>
      <w:lvlJc w:val="left"/>
      <w:pPr>
        <w:tabs>
          <w:tab w:val="num" w:pos="4320"/>
        </w:tabs>
        <w:ind w:left="4320" w:hanging="360"/>
      </w:pPr>
      <w:rPr>
        <w:rFonts w:ascii="Wingdings" w:hAnsi="Wingdings" w:hint="default"/>
      </w:rPr>
    </w:lvl>
    <w:lvl w:ilvl="6" w:tplc="3782CF54">
      <w:start w:val="1"/>
      <w:numFmt w:val="bullet"/>
      <w:lvlText w:val=""/>
      <w:lvlJc w:val="left"/>
      <w:pPr>
        <w:tabs>
          <w:tab w:val="num" w:pos="5040"/>
        </w:tabs>
        <w:ind w:left="5040" w:hanging="360"/>
      </w:pPr>
      <w:rPr>
        <w:rFonts w:ascii="Symbol" w:hAnsi="Symbol" w:hint="default"/>
      </w:rPr>
    </w:lvl>
    <w:lvl w:ilvl="7" w:tplc="4B28C672">
      <w:start w:val="1"/>
      <w:numFmt w:val="bullet"/>
      <w:lvlText w:val="o"/>
      <w:lvlJc w:val="left"/>
      <w:pPr>
        <w:tabs>
          <w:tab w:val="num" w:pos="5760"/>
        </w:tabs>
        <w:ind w:left="5760" w:hanging="360"/>
      </w:pPr>
      <w:rPr>
        <w:rFonts w:ascii="Courier New" w:hAnsi="Courier New" w:hint="default"/>
      </w:rPr>
    </w:lvl>
    <w:lvl w:ilvl="8" w:tplc="7AD0FDF6">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11022C"/>
    <w:rsid w:val="00116B40"/>
    <w:rsid w:val="00132C1B"/>
    <w:rsid w:val="001B2660"/>
    <w:rsid w:val="00203B70"/>
    <w:rsid w:val="002165F0"/>
    <w:rsid w:val="0021726D"/>
    <w:rsid w:val="0026305F"/>
    <w:rsid w:val="00282039"/>
    <w:rsid w:val="002A0722"/>
    <w:rsid w:val="002A5E18"/>
    <w:rsid w:val="002B5432"/>
    <w:rsid w:val="002B61BD"/>
    <w:rsid w:val="002C3CD3"/>
    <w:rsid w:val="002D0C0A"/>
    <w:rsid w:val="00300B05"/>
    <w:rsid w:val="00374428"/>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43532"/>
    <w:rsid w:val="00657F79"/>
    <w:rsid w:val="00675AF5"/>
    <w:rsid w:val="00681F47"/>
    <w:rsid w:val="00693BB6"/>
    <w:rsid w:val="006A41B9"/>
    <w:rsid w:val="0071730A"/>
    <w:rsid w:val="00737445"/>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B0E3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2019-03-27T18:45:50.5182495Z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5df4b423-c179-448f-bc38-e41afa347c7d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