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69E2" w14:textId="77777777" w:rsidR="00D61D35" w:rsidRPr="00D03DE2" w:rsidRDefault="00D03DE2" w:rsidP="00D61D35">
      <w:pPr>
        <w:pStyle w:val="HeadingEULA"/>
        <w:rPr>
          <w:sz w:val="19"/>
          <w:szCs w:val="19"/>
          <w:lang w:val="de-DE"/>
        </w:rPr>
      </w:pPr>
      <w:bookmarkStart w:id="0" w:name="_GoBack"/>
      <w:bookmarkEnd w:id="0"/>
      <w:r>
        <w:rPr>
          <w:rFonts w:eastAsia="Tahoma"/>
          <w:sz w:val="19"/>
          <w:szCs w:val="19"/>
          <w:lang w:val="de-DE"/>
        </w:rPr>
        <w:t>MICROSOFT-SOFTWARE-LIZENZBEDINGUNGEN</w:t>
      </w:r>
    </w:p>
    <w:p w14:paraId="48C3FDAF" w14:textId="72356BAD" w:rsidR="00D61D35" w:rsidRPr="00D03DE2" w:rsidRDefault="00D03DE2" w:rsidP="00D61D35">
      <w:pPr>
        <w:pStyle w:val="HeadingSoftwareTitle"/>
        <w:rPr>
          <w:sz w:val="19"/>
          <w:szCs w:val="19"/>
          <w:lang w:val="de-DE"/>
        </w:rPr>
      </w:pPr>
      <w:r>
        <w:rPr>
          <w:rFonts w:eastAsia="Tahoma"/>
          <w:sz w:val="19"/>
          <w:szCs w:val="19"/>
          <w:lang w:val="de-DE"/>
        </w:rPr>
        <w:t xml:space="preserve">MICROSOFT VISUAL STUDIO COMMUNITY 2019 </w:t>
      </w:r>
    </w:p>
    <w:p w14:paraId="21E802B6" w14:textId="1DC9F64D" w:rsidR="00D61D35" w:rsidRPr="00D03DE2" w:rsidRDefault="00D03DE2" w:rsidP="00D61D35">
      <w:pPr>
        <w:rPr>
          <w:lang w:val="de-DE"/>
        </w:rPr>
      </w:pPr>
      <w:r>
        <w:rPr>
          <w:rFonts w:eastAsia="Tahoma"/>
          <w:lang w:val="de-DE"/>
        </w:rPr>
        <w:t>Diese Lizenzbestimmungen sind eine Vereinbarung zwischen Ihnen und der Microsoft Corporation (oder je nach Ihrem Wohnsitz, einem ihrer Affiliate-Partner). Sie gelten für die oben angeführte Software. Die Bestimmungen gelten ebenso für jegliche von Microsoft angebotenen Dienste oder Aktualisierungen für die Software, sofern diesen keine anderen Bestimmungen beiliegen.</w:t>
      </w:r>
    </w:p>
    <w:p w14:paraId="5CBCB551" w14:textId="77777777" w:rsidR="00D61D35" w:rsidRPr="00D03DE2" w:rsidRDefault="00D03DE2" w:rsidP="00D61D35">
      <w:pPr>
        <w:pStyle w:val="PreambleBorderAbove"/>
        <w:rPr>
          <w:lang w:val="de-DE"/>
        </w:rPr>
      </w:pPr>
      <w:r>
        <w:rPr>
          <w:rFonts w:eastAsia="Tahoma"/>
          <w:lang w:val="de-DE"/>
        </w:rPr>
        <w:t>WENN SIE DIESE LIZENZBESTIMMUNGEN EINHALTEN, VERFÜGEN SIE ÜBER DIE NACHFOLGEND AUFGEFÜHRTEN RECHTE.</w:t>
      </w:r>
    </w:p>
    <w:p w14:paraId="4E84BCEA" w14:textId="77777777" w:rsidR="00D61D35" w:rsidRPr="00D03DE2" w:rsidRDefault="00D03DE2" w:rsidP="00D61D35">
      <w:pPr>
        <w:pStyle w:val="Heading1"/>
        <w:ind w:left="360" w:hanging="360"/>
        <w:rPr>
          <w:lang w:val="de-DE"/>
        </w:rPr>
      </w:pPr>
      <w:r>
        <w:rPr>
          <w:rFonts w:eastAsia="Tahoma"/>
          <w:lang w:val="de-DE"/>
        </w:rPr>
        <w:t>RECHTE ZUR INSTALLATION UND NUTZUNG.</w:t>
      </w:r>
    </w:p>
    <w:p w14:paraId="55504AB4" w14:textId="32602578" w:rsidR="00D61D35" w:rsidRPr="00D03DE2" w:rsidRDefault="00D03DE2" w:rsidP="000B3668">
      <w:pPr>
        <w:pStyle w:val="Heading2"/>
        <w:numPr>
          <w:ilvl w:val="1"/>
          <w:numId w:val="8"/>
        </w:numPr>
        <w:ind w:left="720" w:hanging="360"/>
        <w:rPr>
          <w:lang w:val="de-DE"/>
        </w:rPr>
      </w:pPr>
      <w:r>
        <w:rPr>
          <w:rFonts w:eastAsia="Tahoma"/>
          <w:lang w:val="de-DE"/>
        </w:rPr>
        <w:t xml:space="preserve">Einzelne Lizenz. </w:t>
      </w:r>
      <w:r>
        <w:rPr>
          <w:rFonts w:eastAsia="Tahoma"/>
          <w:b w:val="0"/>
          <w:bCs w:val="0"/>
          <w:lang w:val="de-DE"/>
        </w:rPr>
        <w:t>Wenn Sie eine Einzelperson sind und entweder für Verkaufszwecke oder für andere Zwecke an Ihren eigenen Anwendungen arbeiten, können Sie die Software nutzen, um diese Anwendungen zu entwickeln und zu testen.</w:t>
      </w:r>
    </w:p>
    <w:p w14:paraId="044EB23D" w14:textId="77777777" w:rsidR="00D61D35" w:rsidRPr="00D03DE2" w:rsidRDefault="00D03DE2" w:rsidP="000B3668">
      <w:pPr>
        <w:pStyle w:val="Heading2"/>
        <w:numPr>
          <w:ilvl w:val="1"/>
          <w:numId w:val="8"/>
        </w:numPr>
        <w:ind w:left="720" w:hanging="360"/>
        <w:rPr>
          <w:lang w:val="de-DE"/>
        </w:rPr>
      </w:pPr>
      <w:r>
        <w:rPr>
          <w:rFonts w:eastAsia="Tahoma"/>
          <w:lang w:val="de-DE"/>
        </w:rPr>
        <w:t xml:space="preserve">Organisatorische Lizenz. </w:t>
      </w:r>
      <w:r>
        <w:rPr>
          <w:rFonts w:eastAsia="Tahoma"/>
          <w:b w:val="0"/>
          <w:bCs w:val="0"/>
          <w:lang w:val="de-DE"/>
        </w:rPr>
        <w:t>Wenn Sie eine Organisation sind, sind Ihre Nutzer berechtigt, die Software wie folgt zu installieren und zu verwenden:</w:t>
      </w:r>
    </w:p>
    <w:p w14:paraId="5A186F47" w14:textId="77777777" w:rsidR="00D61D35" w:rsidRPr="00D03DE2" w:rsidRDefault="00D03DE2" w:rsidP="000B3668">
      <w:pPr>
        <w:pStyle w:val="ListParagraph"/>
        <w:numPr>
          <w:ilvl w:val="0"/>
          <w:numId w:val="9"/>
        </w:numPr>
        <w:spacing w:before="0" w:after="0"/>
        <w:ind w:left="1080"/>
        <w:rPr>
          <w:lang w:val="de-DE"/>
        </w:rPr>
      </w:pPr>
      <w:r>
        <w:rPr>
          <w:rFonts w:eastAsia="Tahoma"/>
          <w:lang w:val="de-DE"/>
        </w:rPr>
        <w:t>Eine beliebige Zahl von Nutzern ist berechtigt, die Software zu nutzen, um Anwendungen zu entwickeln und zu testen, freigegeben im Rahmen von Open Source-Softwarelizenzen, die die Zulassung der Open Source Initiative (OSI) besitzen.</w:t>
      </w:r>
    </w:p>
    <w:p w14:paraId="7671DB92" w14:textId="77777777" w:rsidR="0094679A" w:rsidRPr="00D03DE2" w:rsidRDefault="00D03DE2" w:rsidP="000B3668">
      <w:pPr>
        <w:pStyle w:val="ListParagraph"/>
        <w:numPr>
          <w:ilvl w:val="0"/>
          <w:numId w:val="9"/>
        </w:numPr>
        <w:spacing w:before="0" w:after="0"/>
        <w:ind w:left="1080"/>
        <w:rPr>
          <w:lang w:val="de-DE"/>
        </w:rPr>
      </w:pPr>
      <w:r>
        <w:rPr>
          <w:rFonts w:eastAsia="Tahoma"/>
          <w:lang w:val="de-DE"/>
        </w:rPr>
        <w:t xml:space="preserve">Eine beliebige Anzahl Ihrer Nutzer ist berechtigt, die Software zu nutzen, um Erweiterungen von Visual Studio zu entwickeln und zu testen. </w:t>
      </w:r>
    </w:p>
    <w:p w14:paraId="090155A5" w14:textId="12F64F2B" w:rsidR="00F76785" w:rsidRPr="00D03DE2" w:rsidRDefault="00D03DE2" w:rsidP="000B3668">
      <w:pPr>
        <w:pStyle w:val="ListParagraph"/>
        <w:numPr>
          <w:ilvl w:val="0"/>
          <w:numId w:val="9"/>
        </w:numPr>
        <w:spacing w:before="0" w:after="0"/>
        <w:ind w:left="1080"/>
        <w:rPr>
          <w:lang w:val="de-DE"/>
        </w:rPr>
      </w:pPr>
      <w:r>
        <w:rPr>
          <w:rFonts w:eastAsia="Tahoma"/>
          <w:lang w:val="de-DE"/>
        </w:rPr>
        <w:t>Eine beliebige Zahl Ihrer Nutzer ist berechtigt, die Software zu nutzen, um Gerätetreiber für das Windows-Betriebssystem zu entwickeln und zu testen.</w:t>
      </w:r>
    </w:p>
    <w:p w14:paraId="4A09A595" w14:textId="5439C6D5" w:rsidR="00D30757" w:rsidRPr="00D03DE2" w:rsidRDefault="00D03DE2" w:rsidP="000B3668">
      <w:pPr>
        <w:pStyle w:val="ListParagraph"/>
        <w:numPr>
          <w:ilvl w:val="0"/>
          <w:numId w:val="9"/>
        </w:numPr>
        <w:spacing w:before="0" w:after="0"/>
        <w:ind w:left="1080"/>
        <w:rPr>
          <w:lang w:val="de-DE"/>
        </w:rPr>
      </w:pPr>
      <w:r>
        <w:rPr>
          <w:rFonts w:eastAsia="Tahoma"/>
          <w:lang w:val="de-DE"/>
        </w:rPr>
        <w:t>Eine beliebige Anzahl Ihrer Nutzer kann die Software ausschließlich für die Microsoft SQL Server-Entwicklung verwenden, wenn sie die SQL Server Datentools oder die Erweiterungen „Microsoft Analysis Services Projects“, „Microsoft Reporting Services Projects“ oder „SQL Server Integration Services Projects“ verwenden, um Microsoft SQL Server-Datenbank-Projekte oder Analysis Services, Reporting Services, Power BI Report Server oder Integration Services-Projekte zu entwickeln.</w:t>
      </w:r>
    </w:p>
    <w:p w14:paraId="133F5A1C" w14:textId="77777777" w:rsidR="00D61D35" w:rsidRPr="00D03DE2" w:rsidRDefault="00D03DE2" w:rsidP="000B3668">
      <w:pPr>
        <w:pStyle w:val="ListParagraph"/>
        <w:numPr>
          <w:ilvl w:val="0"/>
          <w:numId w:val="9"/>
        </w:numPr>
        <w:spacing w:before="0" w:after="0"/>
        <w:ind w:left="1080"/>
        <w:rPr>
          <w:lang w:val="de-DE"/>
        </w:rPr>
      </w:pPr>
      <w:r>
        <w:rPr>
          <w:rFonts w:eastAsia="Tahoma"/>
          <w:lang w:val="de-DE"/>
        </w:rPr>
        <w:t>Eine beliebige Anzahl Ihrer Nutzer ist berechtigt, die Software zum Entwickeln und Testen Ihrer Anwendungen im Rahmen von Online- oder Präsenzschulungen oder für akademische Forschungszwecke zu nutzen.</w:t>
      </w:r>
    </w:p>
    <w:p w14:paraId="00709C5F" w14:textId="77777777" w:rsidR="00D61D35" w:rsidRPr="00D03DE2" w:rsidRDefault="00D03DE2" w:rsidP="000B3668">
      <w:pPr>
        <w:pStyle w:val="ListParagraph"/>
        <w:numPr>
          <w:ilvl w:val="0"/>
          <w:numId w:val="9"/>
        </w:numPr>
        <w:spacing w:before="0" w:after="0"/>
        <w:ind w:left="1080"/>
        <w:rPr>
          <w:lang w:val="de-DE"/>
        </w:rPr>
      </w:pPr>
      <w:r>
        <w:rPr>
          <w:rFonts w:eastAsia="Tahoma"/>
          <w:lang w:val="de-DE"/>
        </w:rPr>
        <w:t>Trifft nichts des vorstehend Genannten zu und es handelt sich bei Ihnen auch nicht um ein Unternehmen (Definition siehe unten), können bis zu fünf Ihrer Nutzer die Software gleichzeitig nutzen, um Ihre Anwendungen zu entwickeln und zu testen.</w:t>
      </w:r>
    </w:p>
    <w:p w14:paraId="7B2BA4D3" w14:textId="77777777" w:rsidR="005A06CA" w:rsidRPr="00D03DE2" w:rsidRDefault="005A06CA" w:rsidP="005A06CA">
      <w:pPr>
        <w:pStyle w:val="ListParagraph"/>
        <w:spacing w:before="0" w:after="0"/>
        <w:ind w:left="1080"/>
        <w:rPr>
          <w:lang w:val="de-DE"/>
        </w:rPr>
      </w:pPr>
    </w:p>
    <w:p w14:paraId="545F3B52" w14:textId="3CCA8C53" w:rsidR="005A06CA" w:rsidRPr="00D03DE2" w:rsidRDefault="00D03DE2" w:rsidP="000B3668">
      <w:pPr>
        <w:pStyle w:val="ListParagraph"/>
        <w:numPr>
          <w:ilvl w:val="0"/>
          <w:numId w:val="9"/>
        </w:numPr>
        <w:spacing w:before="0" w:after="0"/>
        <w:ind w:left="1080"/>
        <w:rPr>
          <w:lang w:val="de-DE"/>
        </w:rPr>
      </w:pPr>
      <w:r>
        <w:rPr>
          <w:rFonts w:eastAsia="Tahoma"/>
          <w:lang w:val="de-DE"/>
        </w:rPr>
        <w:t xml:space="preserve">Wenn Sie ein Unternehmen sind, sind ihre Mitarbeiter und Vertragspartner </w:t>
      </w:r>
      <w:r>
        <w:rPr>
          <w:rFonts w:eastAsia="Tahoma"/>
          <w:u w:val="single"/>
          <w:lang w:val="de-DE"/>
        </w:rPr>
        <w:t>nicht</w:t>
      </w:r>
      <w:r>
        <w:rPr>
          <w:rFonts w:eastAsia="Tahoma"/>
          <w:lang w:val="de-DE"/>
        </w:rPr>
        <w:t xml:space="preserve"> berechtigt, die Software für Entwicklung und Tests Ihrer Anwendungen zu nutzen, mit Ausnahme von: (i) Open Source; (ii) Visual Studio-Erweiterungen; (iii) Gerätetreiber für das Windows-Betriebssystem; (iv) SQL Server-Entwicklung und (v) Schulungszwecke, wie oben zugelassen. </w:t>
      </w:r>
    </w:p>
    <w:p w14:paraId="6473AA27" w14:textId="77777777" w:rsidR="005A06CA" w:rsidRPr="00D03DE2" w:rsidRDefault="005A06CA" w:rsidP="005A06CA">
      <w:pPr>
        <w:pStyle w:val="ListParagraph"/>
        <w:spacing w:before="0" w:after="0"/>
        <w:ind w:left="1080"/>
        <w:rPr>
          <w:lang w:val="de-DE"/>
        </w:rPr>
      </w:pPr>
    </w:p>
    <w:p w14:paraId="4453938D" w14:textId="77777777" w:rsidR="00D61D35" w:rsidRPr="00D03DE2" w:rsidRDefault="00D03DE2" w:rsidP="005A06CA">
      <w:pPr>
        <w:pStyle w:val="ListParagraph"/>
        <w:spacing w:before="0" w:after="0"/>
        <w:ind w:left="1440"/>
        <w:rPr>
          <w:lang w:val="de-DE"/>
        </w:rPr>
      </w:pPr>
      <w:r>
        <w:rPr>
          <w:rFonts w:eastAsia="Tahoma"/>
          <w:b/>
          <w:bCs/>
          <w:lang w:val="de-DE"/>
        </w:rPr>
        <w:t>Ein „Unternehmen“</w:t>
      </w:r>
      <w:r>
        <w:rPr>
          <w:rFonts w:eastAsia="Tahoma"/>
          <w:lang w:val="de-DE"/>
        </w:rPr>
        <w:t xml:space="preserve"> ist jede Organisation und ihre verbundenen Unternehmen, die gemeinsam (a) mehr als 250 PCs oder Nutzer </w:t>
      </w:r>
      <w:r>
        <w:rPr>
          <w:rFonts w:eastAsia="Tahoma"/>
          <w:u w:val="single"/>
          <w:lang w:val="de-DE"/>
        </w:rPr>
        <w:t>oder</w:t>
      </w:r>
      <w:r>
        <w:rPr>
          <w:rFonts w:eastAsia="Tahoma"/>
          <w:lang w:val="de-DE"/>
        </w:rPr>
        <w:t xml:space="preserve"> (b) eine Million US-Dollar (oder den Gegenwert in anderen Währungen) Jahresumsatz hat. „Verbundene Unternehmen" bezeichnet die juristischen Personen, die (über Mehrheitsbesitz) einen beherrschenden Einfluss auf ein anderes Unternehmen ausüben können oder unmittelbar oder mittelbar kontrolliert werden.</w:t>
      </w:r>
    </w:p>
    <w:p w14:paraId="55506BF4" w14:textId="37FD6D2D" w:rsidR="009340B7" w:rsidRPr="00D03DE2" w:rsidRDefault="00D03DE2" w:rsidP="000B3668">
      <w:pPr>
        <w:pStyle w:val="Heading2"/>
        <w:numPr>
          <w:ilvl w:val="1"/>
          <w:numId w:val="8"/>
        </w:numPr>
        <w:ind w:left="720" w:hanging="360"/>
        <w:rPr>
          <w:lang w:val="de-DE"/>
        </w:rPr>
      </w:pPr>
      <w:r>
        <w:rPr>
          <w:rFonts w:eastAsia="Tahoma"/>
          <w:lang w:val="de-DE"/>
        </w:rPr>
        <w:t>Arbeitsauslastungen.</w:t>
      </w:r>
      <w:r>
        <w:rPr>
          <w:rFonts w:eastAsia="Tahoma"/>
          <w:b w:val="0"/>
          <w:bCs w:val="0"/>
          <w:lang w:val="de-DE"/>
        </w:rPr>
        <w:t xml:space="preserve">  Diese Lizenzbestimmungen gelten für Ihre Verwendung der Workloads, die Ihnen in der Software zur Verfügung gestellt werden,</w:t>
      </w:r>
      <w:r>
        <w:rPr>
          <w:rFonts w:eastAsia="Tahoma"/>
          <w:lang w:val="de-DE"/>
        </w:rPr>
        <w:t xml:space="preserve"> </w:t>
      </w:r>
      <w:r>
        <w:rPr>
          <w:rFonts w:eastAsia="Tahoma"/>
          <w:b w:val="0"/>
          <w:bCs w:val="0"/>
          <w:lang w:val="de-DE"/>
        </w:rPr>
        <w:t>außer für den Fall, dass eine Workload oder eine Workload-Komponente mit anderen Lizenzbestimmungen und Supportrichtlinien geliefert wird.</w:t>
      </w:r>
    </w:p>
    <w:p w14:paraId="0095F502" w14:textId="77777777" w:rsidR="00D61D35" w:rsidRPr="00D03DE2" w:rsidRDefault="00D03DE2" w:rsidP="000B3668">
      <w:pPr>
        <w:pStyle w:val="Heading2"/>
        <w:numPr>
          <w:ilvl w:val="1"/>
          <w:numId w:val="8"/>
        </w:numPr>
        <w:ind w:left="720" w:hanging="360"/>
        <w:rPr>
          <w:lang w:val="de-DE"/>
        </w:rPr>
      </w:pPr>
      <w:r>
        <w:rPr>
          <w:rFonts w:eastAsia="Tahoma"/>
          <w:lang w:val="de-DE"/>
        </w:rPr>
        <w:t xml:space="preserve">Sicherungskopie. </w:t>
      </w:r>
      <w:r>
        <w:rPr>
          <w:rFonts w:eastAsia="Tahoma"/>
          <w:b w:val="0"/>
          <w:bCs w:val="0"/>
          <w:lang w:val="de-DE"/>
        </w:rPr>
        <w:t>Sie sind berechtigt, eine Sicherungskopie der Softwaremedien zur erneuten Installation der Software anzufertigen.</w:t>
      </w:r>
    </w:p>
    <w:p w14:paraId="13E500AE" w14:textId="548ACBBF" w:rsidR="008348D7" w:rsidRPr="00D03DE2" w:rsidRDefault="00D03DE2" w:rsidP="000B3668">
      <w:pPr>
        <w:pStyle w:val="Heading2"/>
        <w:numPr>
          <w:ilvl w:val="1"/>
          <w:numId w:val="8"/>
        </w:numPr>
        <w:ind w:left="720" w:hanging="360"/>
        <w:rPr>
          <w:b w:val="0"/>
          <w:lang w:val="de-DE"/>
        </w:rPr>
      </w:pPr>
      <w:r>
        <w:rPr>
          <w:rFonts w:eastAsia="Tahoma"/>
          <w:lang w:val="de-DE"/>
        </w:rPr>
        <w:t xml:space="preserve">Onlinedienste in der Software. </w:t>
      </w:r>
      <w:r>
        <w:rPr>
          <w:rFonts w:eastAsia="Tahoma"/>
          <w:b w:val="0"/>
          <w:bCs w:val="0"/>
          <w:lang w:val="de-DE"/>
        </w:rPr>
        <w:t xml:space="preserve">Einige Funktionen der Software nutzen Onlinedienste, um Ihnen Informationen über Aktualisierungen der Software oder Erweiterungen bereitzustellen oder Ihnen zu </w:t>
      </w:r>
      <w:r>
        <w:rPr>
          <w:rFonts w:eastAsia="Tahoma"/>
          <w:b w:val="0"/>
          <w:bCs w:val="0"/>
          <w:lang w:val="de-DE"/>
        </w:rPr>
        <w:lastRenderedPageBreak/>
        <w:t>ermöglichen, Inhalte abzurufen, mit anderen zusammenzuarbeiten oder Ihre Entwicklungserfahrung anderweitig zu ergänzen. Im Rahmen dieser Vereinbarung umfasst der Begriff „Software“ diese Onlinedienst–Features.</w:t>
      </w:r>
    </w:p>
    <w:p w14:paraId="5357DA78" w14:textId="77777777" w:rsidR="00D76ECA" w:rsidRPr="00D03DE2" w:rsidRDefault="00D03DE2" w:rsidP="00D76ECA">
      <w:pPr>
        <w:pStyle w:val="Heading2"/>
        <w:numPr>
          <w:ilvl w:val="1"/>
          <w:numId w:val="8"/>
        </w:numPr>
        <w:ind w:left="720" w:hanging="360"/>
        <w:rPr>
          <w:lang w:val="de-DE"/>
        </w:rPr>
      </w:pPr>
      <w:r>
        <w:rPr>
          <w:rFonts w:eastAsia="Tahoma"/>
          <w:lang w:val="de-DE"/>
        </w:rPr>
        <w:t xml:space="preserve">Demo-Nutzung. </w:t>
      </w:r>
      <w:r>
        <w:rPr>
          <w:rFonts w:eastAsia="Tahoma"/>
          <w:b w:val="0"/>
          <w:bCs w:val="0"/>
          <w:lang w:val="de-DE"/>
        </w:rPr>
        <w:t>Die vorstehend genehmigten Nutzungszwecke enthalten die Nutzung der Software zur Demonstration Ihrer Anwendungen.</w:t>
      </w:r>
    </w:p>
    <w:p w14:paraId="7B15EC4E" w14:textId="77777777" w:rsidR="00D61D35" w:rsidRPr="00BA52B9" w:rsidRDefault="00D03DE2" w:rsidP="00D61D35">
      <w:pPr>
        <w:pStyle w:val="Heading1"/>
        <w:ind w:left="360" w:hanging="360"/>
      </w:pPr>
      <w:r>
        <w:rPr>
          <w:rFonts w:eastAsia="Tahoma"/>
          <w:lang w:val="de-DE"/>
        </w:rPr>
        <w:t>BESTIMMUNGEN FÜR SPEZIFISCHE KOMPONENTEN.</w:t>
      </w:r>
    </w:p>
    <w:p w14:paraId="131760DA" w14:textId="2433A742" w:rsidR="00D61D35" w:rsidRPr="00D03DE2" w:rsidRDefault="00D03DE2" w:rsidP="00D61D35">
      <w:pPr>
        <w:pStyle w:val="Heading2"/>
        <w:ind w:left="720" w:hanging="360"/>
        <w:rPr>
          <w:lang w:val="de-DE"/>
        </w:rPr>
      </w:pPr>
      <w:r>
        <w:rPr>
          <w:rFonts w:eastAsia="Tahoma"/>
          <w:lang w:val="de-DE"/>
        </w:rPr>
        <w:t xml:space="preserve">Dienstprogramme. </w:t>
      </w:r>
      <w:r>
        <w:rPr>
          <w:rFonts w:eastAsia="Tahoma"/>
          <w:b w:val="0"/>
          <w:bCs w:val="0"/>
          <w:lang w:val="de-DE"/>
        </w:rPr>
        <w:t xml:space="preserve">Die Software enthält einige Artikel in der Liste der Dienstprogramme unter </w:t>
      </w:r>
      <w:r w:rsidR="001D6285">
        <w:fldChar w:fldCharType="begin"/>
      </w:r>
      <w:r w:rsidR="001D6285">
        <w:instrText xml:space="preserve"> HYPERLINK "https://docs.microsoft.com/en-us/visualstudio/releases/2019/redistribution" </w:instrText>
      </w:r>
      <w:r w:rsidR="001D6285">
        <w:fldChar w:fldCharType="separate"/>
      </w:r>
      <w:r>
        <w:rPr>
          <w:rFonts w:eastAsia="Tahoma"/>
          <w:b w:val="0"/>
          <w:bCs w:val="0"/>
          <w:color w:val="0000FF"/>
          <w:u w:val="single"/>
          <w:lang w:val="de-DE"/>
        </w:rPr>
        <w:t>https://aka.ms/vs/16/utilities</w:t>
      </w:r>
      <w:r w:rsidR="001D6285">
        <w:rPr>
          <w:rFonts w:eastAsia="Tahoma"/>
          <w:b w:val="0"/>
          <w:bCs w:val="0"/>
          <w:color w:val="0000FF"/>
          <w:u w:val="single"/>
          <w:lang w:val="de-DE"/>
        </w:rPr>
        <w:fldChar w:fldCharType="end"/>
      </w:r>
      <w:r>
        <w:rPr>
          <w:rFonts w:eastAsia="Tahoma"/>
          <w:b w:val="0"/>
          <w:bCs w:val="0"/>
          <w:lang w:val="de-DE"/>
        </w:rPr>
        <w:t>. Sie sind berechtigt, diese Elemente auf Ihre Geräte zu kopieren und zu installieren, um Ihre mit der Software entwickelten Anwendungen und Datenbanken zu debuggen und bereitzustellen. Die Dienstprogramme sind für die vorübergehende Verwendung vorgesehen. Microsoft ist möglicherweise nicht in der Lage, Dienstprogramme separat vom Rest der Software zu patchen oder zu aktualisieren. Einige Dienstprogramme können es naturgemäß anderen ermöglichen, auf die Geräte zuzugreifen, auf denen die Dienstprogramme installiert sind. Nach der Fehlerbereinigung und Bereitstellung Ihrer Anwendungen und Datenbanken sollten Sie alle Dienstprogramme löschen, die Sie installiert haben.  Microsoft ist nicht verantwortlich für die Verwendung oder den Zugriff Dritter auf Geräte, Anwendungen oder Datenbanken auf Geräten, auf denen Dienstprogramme installiert wurden.</w:t>
      </w:r>
    </w:p>
    <w:p w14:paraId="02EB500F" w14:textId="6BB734B4" w:rsidR="00D61D35" w:rsidRPr="00D03DE2" w:rsidRDefault="00D03DE2" w:rsidP="00D61D35">
      <w:pPr>
        <w:pStyle w:val="Heading2"/>
        <w:widowControl w:val="0"/>
        <w:ind w:left="720" w:hanging="360"/>
        <w:rPr>
          <w:lang w:val="de-DE"/>
        </w:rPr>
      </w:pPr>
      <w:r w:rsidRPr="00D03DE2">
        <w:rPr>
          <w:rFonts w:eastAsia="Tahoma"/>
        </w:rPr>
        <w:t>Build-</w:t>
      </w:r>
      <w:proofErr w:type="spellStart"/>
      <w:r w:rsidRPr="00D03DE2">
        <w:rPr>
          <w:rFonts w:eastAsia="Tahoma"/>
        </w:rPr>
        <w:t>Geräte</w:t>
      </w:r>
      <w:proofErr w:type="spellEnd"/>
      <w:r w:rsidRPr="00D03DE2">
        <w:rPr>
          <w:rFonts w:eastAsia="Tahoma"/>
        </w:rPr>
        <w:t xml:space="preserve"> und Visual Studio Build Tools. </w:t>
      </w:r>
      <w:r>
        <w:rPr>
          <w:rFonts w:eastAsia="Tahoma"/>
          <w:b w:val="0"/>
          <w:bCs w:val="0"/>
          <w:lang w:val="de-DE"/>
        </w:rPr>
        <w:t xml:space="preserve">Sie können Dateien von der Software oder von den Visual Studio Build Tools auf Ihre Build-Geräte kopieren und installieren, darunter auch auf physische Geräte und virtuelle Maschinen oder Container auf diesen Maschinen, ob auf lokale oder Remote-Maschinen, die Ihnen gehören, in Azure für Sie gehostet werden oder ausschließlich Ihnen zur Verwendung stehen (hier zusammenfassend „Build-Geräte“).  Sie und andere Personen in Ihrem Unternehmen sind ausschließlich berechtigt, diese Dateien auf Ihren Build-Geräten zum Kompilieren, Erstellen und Überprüfen von Anwendungen zu verwenden, die durch die Nutzung der Software entwickelt wurden, oder Qualitäts- oder Leistungstests in Bezug auf diese Anwendungen als Teil des Build-Prozesses auszuführen.  </w:t>
      </w:r>
    </w:p>
    <w:p w14:paraId="186B0028" w14:textId="6A413664" w:rsidR="00D61D35" w:rsidRPr="00D03DE2" w:rsidRDefault="00D03DE2" w:rsidP="00D61D35">
      <w:pPr>
        <w:pStyle w:val="Heading2"/>
        <w:ind w:left="720" w:hanging="360"/>
        <w:rPr>
          <w:lang w:val="de-DE"/>
        </w:rPr>
      </w:pPr>
      <w:r>
        <w:rPr>
          <w:rFonts w:eastAsia="Tahoma"/>
          <w:lang w:val="de-DE"/>
        </w:rPr>
        <w:t xml:space="preserve">Schriftarten. </w:t>
      </w:r>
      <w:r>
        <w:rPr>
          <w:rFonts w:eastAsia="Tahoma"/>
          <w:b w:val="0"/>
          <w:bCs w:val="0"/>
          <w:lang w:val="de-DE"/>
        </w:rPr>
        <w:t>Bei laufender Software sind Sie berechtigt, mit deren Schriftarten Inhalte anzuzeigen und zu drucken. Sie dürfen lediglich (i) in dem Ausmaß Schriftarten in Inhalte einzubetten, wie dies durch die Einbettungseinschränkungen in den Schriftarten gestattet ist, und (ii) diese vorübergehend auf einen Drucker oder ein anderes Ausgabegerät herunterzuladen, um das Ausdrucken von Inhalten zu unterstützen.</w:t>
      </w:r>
    </w:p>
    <w:p w14:paraId="5BF1B48E" w14:textId="77777777" w:rsidR="00D61D35" w:rsidRPr="00456CB1" w:rsidRDefault="00D03DE2" w:rsidP="00D61D35">
      <w:pPr>
        <w:pStyle w:val="Heading2"/>
        <w:ind w:left="720" w:hanging="360"/>
        <w:rPr>
          <w:sz w:val="20"/>
          <w:szCs w:val="20"/>
        </w:rPr>
      </w:pPr>
      <w:r>
        <w:rPr>
          <w:rFonts w:eastAsia="Tahoma"/>
          <w:sz w:val="20"/>
          <w:szCs w:val="20"/>
          <w:lang w:val="de-DE"/>
        </w:rPr>
        <w:t xml:space="preserve">Lizenzen für andere Komponenten. </w:t>
      </w:r>
    </w:p>
    <w:p w14:paraId="62A89B01" w14:textId="77777777" w:rsidR="00D61D35" w:rsidRPr="00D03DE2" w:rsidRDefault="00D03DE2" w:rsidP="00D61D35">
      <w:pPr>
        <w:pStyle w:val="Bullet4"/>
        <w:rPr>
          <w:lang w:val="de-DE"/>
        </w:rPr>
      </w:pPr>
      <w:r w:rsidRPr="00664C34">
        <w:rPr>
          <w:rFonts w:eastAsia="Tahoma"/>
          <w:b/>
          <w:bCs/>
        </w:rPr>
        <w:t xml:space="preserve">Microsoft </w:t>
      </w:r>
      <w:proofErr w:type="spellStart"/>
      <w:r w:rsidRPr="00664C34">
        <w:rPr>
          <w:rFonts w:eastAsia="Tahoma"/>
          <w:b/>
          <w:bCs/>
        </w:rPr>
        <w:t>Plattformen</w:t>
      </w:r>
      <w:proofErr w:type="spellEnd"/>
      <w:r w:rsidRPr="00664C34">
        <w:rPr>
          <w:rFonts w:eastAsia="Tahoma"/>
          <w:b/>
          <w:bCs/>
        </w:rPr>
        <w:t xml:space="preserve">. </w:t>
      </w:r>
      <w:r w:rsidRPr="00664C34">
        <w:rPr>
          <w:rFonts w:eastAsia="Tahoma"/>
        </w:rPr>
        <w:t xml:space="preserve">Die Software </w:t>
      </w:r>
      <w:proofErr w:type="spellStart"/>
      <w:r w:rsidRPr="00664C34">
        <w:rPr>
          <w:rFonts w:eastAsia="Tahoma"/>
        </w:rPr>
        <w:t>kann</w:t>
      </w:r>
      <w:proofErr w:type="spellEnd"/>
      <w:r w:rsidRPr="00664C34">
        <w:rPr>
          <w:rFonts w:eastAsia="Tahoma"/>
        </w:rPr>
        <w:t xml:space="preserve"> </w:t>
      </w:r>
      <w:proofErr w:type="spellStart"/>
      <w:r w:rsidRPr="00664C34">
        <w:rPr>
          <w:rFonts w:eastAsia="Tahoma"/>
        </w:rPr>
        <w:t>Komponenten</w:t>
      </w:r>
      <w:proofErr w:type="spellEnd"/>
      <w:r w:rsidRPr="00664C34">
        <w:rPr>
          <w:rFonts w:eastAsia="Tahoma"/>
        </w:rPr>
        <w:t xml:space="preserve"> </w:t>
      </w:r>
      <w:proofErr w:type="spellStart"/>
      <w:r w:rsidRPr="00664C34">
        <w:rPr>
          <w:rFonts w:eastAsia="Tahoma"/>
        </w:rPr>
        <w:t>aus</w:t>
      </w:r>
      <w:proofErr w:type="spellEnd"/>
      <w:r w:rsidRPr="00664C34">
        <w:rPr>
          <w:rFonts w:eastAsia="Tahoma"/>
        </w:rPr>
        <w:t xml:space="preserve"> Microsoft Windows, Microsoft Windows Server, Microsoft SQL Server, Microsoft Exchange, Microsoft Office und </w:t>
      </w:r>
      <w:r w:rsidRPr="00664C34">
        <w:rPr>
          <w:rFonts w:eastAsia="Tahoma"/>
          <w:sz w:val="20"/>
          <w:szCs w:val="20"/>
        </w:rPr>
        <w:t>Microsoft</w:t>
      </w:r>
      <w:r w:rsidRPr="00664C34">
        <w:rPr>
          <w:rFonts w:eastAsia="Tahoma"/>
        </w:rPr>
        <w:t xml:space="preserve"> SharePoint </w:t>
      </w:r>
      <w:proofErr w:type="spellStart"/>
      <w:r w:rsidRPr="00664C34">
        <w:rPr>
          <w:rFonts w:eastAsia="Tahoma"/>
        </w:rPr>
        <w:t>enthalten</w:t>
      </w:r>
      <w:proofErr w:type="spellEnd"/>
      <w:r w:rsidRPr="00664C34">
        <w:rPr>
          <w:rFonts w:eastAsia="Tahoma"/>
        </w:rPr>
        <w:t xml:space="preserve">. </w:t>
      </w:r>
      <w:r>
        <w:rPr>
          <w:rFonts w:eastAsia="Tahoma"/>
          <w:lang w:val="de-DE"/>
        </w:rPr>
        <w:t xml:space="preserve">Diese Komponenten unterliegen gesonderten Verträgen und deren jeweiligen Produktsupportrichtlinien wie im die Software begleitenden Microsoft-Ordner „Licenses“ beschrieben, mit der Ausnahme, dass, falls im zugehörigen Installationsverzeichnis ebenfalls Lizenzbestimmungen für diese Komponenten enthalten sind, diese Lizenzbestimmungen maßgeblich sind. </w:t>
      </w:r>
    </w:p>
    <w:p w14:paraId="7330E8F7" w14:textId="77777777" w:rsidR="00D61D35" w:rsidRPr="00D03DE2" w:rsidRDefault="00D03DE2" w:rsidP="00D61D35">
      <w:pPr>
        <w:pStyle w:val="Bullet4"/>
        <w:rPr>
          <w:lang w:val="de-DE"/>
        </w:rPr>
      </w:pPr>
      <w:r>
        <w:rPr>
          <w:rFonts w:eastAsia="Tahoma"/>
          <w:b/>
          <w:bCs/>
          <w:lang w:val="de-DE"/>
        </w:rPr>
        <w:t xml:space="preserve">Komponenten von Dritten. </w:t>
      </w:r>
      <w:r>
        <w:rPr>
          <w:rFonts w:eastAsia="Tahoma"/>
          <w:lang w:val="de-DE"/>
        </w:rPr>
        <w:t xml:space="preserve">Diese Software kann Komponenten Dritter enthalten, die gesonderten rechtlichen Anmerkungen oder anderen Verträgen unterliegen, wie in den der Software beiliegenden ThirdPartyNotices-Dateien ggf. beschrieben ist. </w:t>
      </w:r>
    </w:p>
    <w:p w14:paraId="36663934" w14:textId="61576AA6" w:rsidR="00D61D35" w:rsidRPr="00D91201" w:rsidRDefault="00D03DE2" w:rsidP="00D61D35">
      <w:pPr>
        <w:pStyle w:val="Heading2"/>
        <w:ind w:left="720" w:hanging="360"/>
        <w:rPr>
          <w:lang w:val="de-DE"/>
        </w:rPr>
      </w:pPr>
      <w:r>
        <w:rPr>
          <w:rFonts w:eastAsia="Tahoma"/>
          <w:lang w:val="de-DE"/>
        </w:rPr>
        <w:t>Paket-Manager.</w:t>
      </w:r>
      <w:r>
        <w:rPr>
          <w:rFonts w:eastAsia="Tahoma"/>
          <w:b w:val="0"/>
          <w:bCs w:val="0"/>
          <w:lang w:val="de-DE"/>
        </w:rPr>
        <w:t xml:space="preserve"> Die Software enthält Paket-Manager wie NuGet, die es Ihnen erlauben, andere Softwarepakete von Microsoft und Dritten zur Nutzung mit Ihren Anwendungen herunterzuladen. Diese Pakete unterliegen ihren eigenen Lizenzen und nicht diesen Lizenzbestimmungen. Microsoft übernimmt weder Vertrieb, Lizenzierung oder Gewährleistungen für Drittanbieterpakete.</w:t>
      </w:r>
    </w:p>
    <w:p w14:paraId="0AAD41E8" w14:textId="403A29AE" w:rsidR="00D61D35" w:rsidRPr="00D03DE2" w:rsidRDefault="00D03DE2" w:rsidP="00D61D35">
      <w:pPr>
        <w:pStyle w:val="Heading1"/>
        <w:ind w:left="360" w:hanging="360"/>
        <w:rPr>
          <w:lang w:val="de-DE"/>
        </w:rPr>
      </w:pPr>
      <w:r>
        <w:rPr>
          <w:rFonts w:eastAsia="Tahoma"/>
          <w:lang w:val="de-DE"/>
        </w:rPr>
        <w:t>VERTREIBBARER</w:t>
      </w:r>
      <w:r>
        <w:rPr>
          <w:rFonts w:eastAsia="Tahoma"/>
          <w:b w:val="0"/>
          <w:bCs w:val="0"/>
          <w:lang w:val="de-DE"/>
        </w:rPr>
        <w:t xml:space="preserve"> </w:t>
      </w:r>
      <w:r w:rsidRPr="00D91201">
        <w:rPr>
          <w:rFonts w:eastAsia="Tahoma"/>
          <w:lang w:val="de-DE"/>
        </w:rPr>
        <w:t>CODE</w:t>
      </w:r>
      <w:r>
        <w:rPr>
          <w:rFonts w:eastAsia="Tahoma"/>
          <w:b w:val="0"/>
          <w:bCs w:val="0"/>
          <w:lang w:val="de-DE"/>
        </w:rPr>
        <w:t>. Die Software enthält einen Code, den Sie auf bei Ihnen in Entwicklung befindliche Anwendungen verteilen können, wie in diesem Abschnitt beschrieben. Für die Zwecke dieses Abschnitts 3 bedeutet der Begriff „Vertrieb“ auch die Bereitstellung Ihrer Anwendungen für den Zugriff durch Dritte über das Internet.</w:t>
      </w:r>
    </w:p>
    <w:p w14:paraId="33C615BB" w14:textId="5A75D698" w:rsidR="00D61D35" w:rsidRPr="00D03DE2" w:rsidRDefault="00D03DE2" w:rsidP="00D61D35">
      <w:pPr>
        <w:pStyle w:val="Heading2"/>
        <w:ind w:left="720" w:hanging="360"/>
        <w:rPr>
          <w:lang w:val="de-DE"/>
        </w:rPr>
      </w:pPr>
      <w:r>
        <w:rPr>
          <w:rFonts w:eastAsia="Tahoma"/>
          <w:lang w:val="de-DE"/>
        </w:rPr>
        <w:t>Recht zur Nutzung und zum Vertrieb.</w:t>
      </w:r>
      <w:r>
        <w:rPr>
          <w:rFonts w:eastAsia="Tahoma"/>
          <w:b w:val="0"/>
          <w:bCs w:val="0"/>
          <w:lang w:val="de-DE"/>
        </w:rPr>
        <w:t xml:space="preserve"> Bei dem nachfolgend aufgelisteten Code und den nachfolgend aufgelisteten Textdateien handelt es sich um „vertreibbaren Code“.</w:t>
      </w:r>
    </w:p>
    <w:p w14:paraId="513C8677" w14:textId="26B259DF" w:rsidR="00D61D35" w:rsidRPr="00D03DE2" w:rsidRDefault="00D03DE2" w:rsidP="00D61D35">
      <w:pPr>
        <w:pStyle w:val="Bullet4"/>
        <w:rPr>
          <w:lang w:val="de-DE"/>
        </w:rPr>
      </w:pPr>
      <w:r>
        <w:rPr>
          <w:rFonts w:eastAsia="Tahoma"/>
          <w:b/>
          <w:bCs/>
          <w:lang w:val="de-DE"/>
        </w:rPr>
        <w:t>Verteilerliste</w:t>
      </w:r>
      <w:r>
        <w:rPr>
          <w:rFonts w:eastAsia="Tahoma"/>
          <w:lang w:val="de-DE"/>
        </w:rPr>
        <w:t xml:space="preserve">. Sie sind berechtigt, die Objektcodeform des in der Verteilerliste aufgelisteten Codes zu kopieren und zu vertreiben. Diese Liste finden Sie unter </w:t>
      </w:r>
      <w:r>
        <w:rPr>
          <w:rFonts w:eastAsia="Tahoma" w:cs="Times New Roman"/>
          <w:color w:val="0000FF"/>
          <w:u w:val="single"/>
          <w:lang w:val="de-DE"/>
        </w:rPr>
        <w:t>https://aka.ms/vs/16/redistribution.</w:t>
      </w:r>
      <w:r>
        <w:rPr>
          <w:rFonts w:eastAsia="Tahoma"/>
          <w:lang w:val="de-DE"/>
        </w:rPr>
        <w:t xml:space="preserve"> </w:t>
      </w:r>
      <w:hyperlink w:history="1"/>
    </w:p>
    <w:p w14:paraId="19FF73C7" w14:textId="1EF73D9B" w:rsidR="00D61D35" w:rsidRPr="00D03DE2" w:rsidRDefault="00D03DE2" w:rsidP="00D61D35">
      <w:pPr>
        <w:pStyle w:val="Bullet4"/>
        <w:rPr>
          <w:lang w:val="de-DE"/>
        </w:rPr>
      </w:pPr>
      <w:r>
        <w:rPr>
          <w:rFonts w:eastAsia="Tahoma"/>
          <w:b/>
          <w:bCs/>
          <w:lang w:val="de-DE"/>
        </w:rPr>
        <w:lastRenderedPageBreak/>
        <w:t>Mustercode, Vorlagen und Stile</w:t>
      </w:r>
      <w:r>
        <w:rPr>
          <w:rFonts w:eastAsia="Tahoma"/>
          <w:lang w:val="de-DE"/>
        </w:rPr>
        <w:t>. Sie sind berechtigt, die Quell- und Objektcodeform des als „Muster“, „Vorlage“, „einfache Stile“ und „Skizzen-Stile“ gekennzeichneten Codes zu ändern, zu kopieren und zu vertreiben.</w:t>
      </w:r>
    </w:p>
    <w:p w14:paraId="16D03EE1" w14:textId="0E03361C" w:rsidR="00D61D35" w:rsidRPr="00D03DE2" w:rsidRDefault="00D03DE2" w:rsidP="00D61D35">
      <w:pPr>
        <w:pStyle w:val="Bullet4"/>
        <w:rPr>
          <w:lang w:val="de-DE"/>
        </w:rPr>
      </w:pPr>
      <w:r>
        <w:rPr>
          <w:rFonts w:eastAsia="Tahoma"/>
          <w:b/>
          <w:bCs/>
          <w:lang w:val="de-DE"/>
        </w:rPr>
        <w:t>Vertrieb durch Dritte.</w:t>
      </w:r>
      <w:r>
        <w:rPr>
          <w:rFonts w:eastAsia="Tahoma"/>
          <w:lang w:val="de-DE"/>
        </w:rPr>
        <w:t xml:space="preserve"> Sie sind berechtigt, Distributoren Ihrer Anwendungen zu erlauben, den vertreibbaren Code als Teil dieser Anwendungen zu kopieren und zu vertreiben.</w:t>
      </w:r>
    </w:p>
    <w:p w14:paraId="4E090A64" w14:textId="77777777" w:rsidR="00D61D35" w:rsidRPr="00D03DE2" w:rsidRDefault="00D03DE2" w:rsidP="00D61D35">
      <w:pPr>
        <w:pStyle w:val="Heading2"/>
        <w:ind w:left="720" w:hanging="360"/>
        <w:rPr>
          <w:lang w:val="de-DE"/>
        </w:rPr>
      </w:pPr>
      <w:r>
        <w:rPr>
          <w:rFonts w:eastAsia="Tahoma"/>
          <w:lang w:val="de-DE"/>
        </w:rPr>
        <w:t xml:space="preserve">Vertriebsbedingungen. </w:t>
      </w:r>
      <w:r>
        <w:rPr>
          <w:rFonts w:eastAsia="Tahoma"/>
          <w:b w:val="0"/>
          <w:bCs w:val="0"/>
          <w:lang w:val="de-DE"/>
        </w:rPr>
        <w:t>Für vertreibbaren Code, den Sie vertreiben, sind Sie verpflichtet:</w:t>
      </w:r>
    </w:p>
    <w:p w14:paraId="4BE07133" w14:textId="77777777" w:rsidR="00D61D35" w:rsidRPr="00D03DE2" w:rsidRDefault="00D03DE2" w:rsidP="00517446">
      <w:pPr>
        <w:pStyle w:val="Bullet4"/>
        <w:rPr>
          <w:lang w:val="de-DE"/>
        </w:rPr>
      </w:pPr>
      <w:r>
        <w:rPr>
          <w:rFonts w:eastAsia="Tahoma"/>
          <w:lang w:val="de-DE"/>
        </w:rPr>
        <w:t>diesem in Ihren Anwendungen wesentliche primäre Funktionalität hinzuzufügen, und</w:t>
      </w:r>
    </w:p>
    <w:p w14:paraId="7C638751" w14:textId="77777777" w:rsidR="00D61D35" w:rsidRPr="00D03DE2" w:rsidRDefault="00D03DE2" w:rsidP="00D61D35">
      <w:pPr>
        <w:pStyle w:val="Bullet4"/>
        <w:rPr>
          <w:lang w:val="de-DE"/>
        </w:rPr>
      </w:pPr>
      <w:r>
        <w:rPr>
          <w:rFonts w:eastAsia="Tahoma"/>
          <w:lang w:val="de-DE"/>
        </w:rPr>
        <w:t>von Distributoren und externen Endbenutzern die Zustimmung zu Bestimmungen zu verlangen, die einen mindestens gleichwertigen Schutz für den vertreibbaren Code bieten wie diese Vereinbarung.</w:t>
      </w:r>
    </w:p>
    <w:p w14:paraId="114B2DCF" w14:textId="77777777" w:rsidR="00D61D35" w:rsidRPr="00D03DE2" w:rsidRDefault="00D03DE2" w:rsidP="00D61D35">
      <w:pPr>
        <w:pStyle w:val="Heading2"/>
        <w:ind w:left="720" w:hanging="360"/>
        <w:rPr>
          <w:lang w:val="de-DE"/>
        </w:rPr>
      </w:pPr>
      <w:r>
        <w:rPr>
          <w:rFonts w:eastAsia="Tahoma"/>
          <w:lang w:val="de-DE"/>
        </w:rPr>
        <w:t>Vertriebsbeschränkungen.</w:t>
      </w:r>
      <w:r>
        <w:rPr>
          <w:rFonts w:eastAsia="Tahoma"/>
          <w:b w:val="0"/>
          <w:bCs w:val="0"/>
          <w:lang w:val="de-DE"/>
        </w:rPr>
        <w:t xml:space="preserve"> Sie sind nicht dazu berechtigt,</w:t>
      </w:r>
    </w:p>
    <w:p w14:paraId="0C290996" w14:textId="77777777" w:rsidR="00D61D35" w:rsidRPr="00D03DE2" w:rsidRDefault="00D03DE2" w:rsidP="00D61D35">
      <w:pPr>
        <w:pStyle w:val="Bullet4"/>
        <w:rPr>
          <w:lang w:val="de-DE"/>
        </w:rPr>
      </w:pPr>
      <w:r>
        <w:rPr>
          <w:rFonts w:eastAsia="Tahoma"/>
          <w:lang w:val="de-DE"/>
        </w:rPr>
        <w:t>die Marken von Microsoft in den Namen Ihrer Anwendungen oder auf eine Weise zu verwenden, die nahelegt, dass Ihre Anwendungen von Microsoft stammen oder von Microsoft empfohlen werden, oder</w:t>
      </w:r>
    </w:p>
    <w:p w14:paraId="1D61797D" w14:textId="77777777" w:rsidR="00D61D35" w:rsidRPr="00D03DE2" w:rsidRDefault="00D03DE2" w:rsidP="00D61D35">
      <w:pPr>
        <w:pStyle w:val="Bullet4"/>
        <w:rPr>
          <w:lang w:val="de-DE"/>
        </w:rPr>
      </w:pPr>
      <w:r>
        <w:rPr>
          <w:rFonts w:eastAsia="Tahoma"/>
          <w:lang w:val="de-DE"/>
        </w:rPr>
        <w:t>den Quellcode von vertreibbarem Code so zu ändern oder zu vertreiben, dass irgendein Teil von ihm einer ausgeschlossenen Lizenz unterliegt. Bei einer „ausgeklammerten Lizenz" handelt es sich um eine Lizenz, die als Bedingung für Nutzung, Änderung oder Verteilung des Codes erfordert, dass (a) diese in Quellcodeform offengelegt oder verteilt wird oder (b) andere das Recht haben, dieselbe zu ändern.</w:t>
      </w:r>
    </w:p>
    <w:p w14:paraId="3F7E7A84" w14:textId="77777777" w:rsidR="002D59F4" w:rsidRPr="00FD5289" w:rsidRDefault="00D03DE2" w:rsidP="002D59F4">
      <w:pPr>
        <w:pStyle w:val="Heading1"/>
        <w:ind w:left="360" w:hanging="360"/>
        <w:rPr>
          <w:rFonts w:eastAsia="SimSun"/>
        </w:rPr>
      </w:pPr>
      <w:r>
        <w:rPr>
          <w:rFonts w:eastAsia="Tahoma"/>
          <w:lang w:val="de-DE"/>
        </w:rPr>
        <w:t>ENTWICKLUNG VON ERWEITERUNGEN.</w:t>
      </w:r>
    </w:p>
    <w:p w14:paraId="722EE614" w14:textId="05CCB3A0" w:rsidR="002D59F4" w:rsidRPr="00D03DE2" w:rsidRDefault="00D03DE2" w:rsidP="002D59F4">
      <w:pPr>
        <w:pStyle w:val="Heading2"/>
        <w:tabs>
          <w:tab w:val="clear" w:pos="813"/>
          <w:tab w:val="num" w:pos="1350"/>
        </w:tabs>
        <w:ind w:left="720" w:hanging="360"/>
        <w:rPr>
          <w:rFonts w:eastAsia="SimSun"/>
          <w:b w:val="0"/>
          <w:lang w:val="de-DE"/>
        </w:rPr>
      </w:pPr>
      <w:r>
        <w:rPr>
          <w:rFonts w:eastAsia="Tahoma"/>
          <w:lang w:val="de-DE"/>
        </w:rPr>
        <w:t xml:space="preserve">Beschränkungen für Erweiterungen. </w:t>
      </w:r>
      <w:r>
        <w:rPr>
          <w:rFonts w:eastAsia="Tahoma"/>
          <w:b w:val="0"/>
          <w:bCs w:val="0"/>
          <w:lang w:val="de-DE"/>
        </w:rPr>
        <w:t>Sie sind nicht berechtigt, Erweiterungen für die Software (oder sonstige Komponenten der Visual Studio-Produktfamilie) zu entwickeln, die technische Beschränkungen umgehen, die in die Software implementiert wurden, oder andere in die Lage versetzen, diese zu entwickeln. Wenn Microsoft die Erweiterbarkeit der Software technisch beschränkt oder deaktiviert, sind Sie nicht berechtigt, die Software zu erweitern, unter anderem durch Laden oder Einfügen von nicht von Microsoft stammenden Add-Ins, Makros oder Paketen in die Software, Ändern der Registrierungseinstellungen der Software oder Hinzufügen von Features oder Funktionen, die der Visual Studio-Produktfamilie zu findenden Features oder Funktionen entsprechen.</w:t>
      </w:r>
    </w:p>
    <w:p w14:paraId="0C3D7C17" w14:textId="564FB037" w:rsidR="002D59F4" w:rsidRPr="00D03DE2" w:rsidRDefault="00D03DE2" w:rsidP="002D59F4">
      <w:pPr>
        <w:pStyle w:val="Heading2"/>
        <w:tabs>
          <w:tab w:val="clear" w:pos="813"/>
          <w:tab w:val="num" w:pos="1350"/>
        </w:tabs>
        <w:ind w:left="720" w:hanging="360"/>
        <w:rPr>
          <w:b w:val="0"/>
          <w:lang w:val="de-DE"/>
        </w:rPr>
      </w:pPr>
      <w:r>
        <w:rPr>
          <w:rFonts w:eastAsia="Tahoma"/>
          <w:lang w:val="de-DE"/>
        </w:rPr>
        <w:t>Keine Leistungsminderung der Software</w:t>
      </w:r>
      <w:r>
        <w:rPr>
          <w:rFonts w:eastAsia="Tahoma"/>
          <w:b w:val="0"/>
          <w:bCs w:val="0"/>
          <w:lang w:val="de-DE"/>
        </w:rPr>
        <w:t>. Wenn Sie eine Erweiterung für die Software (oder andere Komponenten der Visual Studio-Produktfamilie) entwickeln, müssen Sie die Installation, die Deinstallation und den Betrieb Ihrer Erweiterung testen, um sicherzustellen, dass diese Prozesse keine Features deaktivieren oder die Funktionalität der Software (oder der betreffenden Komponente) oder einer früheren Version oder Edition davon beeinträchtigen.</w:t>
      </w:r>
    </w:p>
    <w:p w14:paraId="2DCE2458" w14:textId="77777777" w:rsidR="00495061" w:rsidRPr="00495061" w:rsidRDefault="00D03DE2" w:rsidP="00C960FB">
      <w:pPr>
        <w:pStyle w:val="Heading1"/>
        <w:tabs>
          <w:tab w:val="clear" w:pos="360"/>
          <w:tab w:val="num" w:pos="5940"/>
        </w:tabs>
        <w:ind w:left="360" w:hanging="360"/>
        <w:rPr>
          <w:rFonts w:eastAsia="SimSun"/>
        </w:rPr>
      </w:pPr>
      <w:r>
        <w:rPr>
          <w:rFonts w:eastAsia="Tahoma"/>
          <w:lang w:val="de-DE"/>
        </w:rPr>
        <w:t xml:space="preserve">DATEN.  </w:t>
      </w:r>
    </w:p>
    <w:p w14:paraId="58552154" w14:textId="6E6DC0D1" w:rsidR="00D61D35" w:rsidRPr="00D03DE2" w:rsidRDefault="00D03DE2" w:rsidP="00495061">
      <w:pPr>
        <w:pStyle w:val="Heading2"/>
        <w:ind w:left="720" w:hanging="360"/>
        <w:rPr>
          <w:b w:val="0"/>
          <w:lang w:val="de-DE"/>
        </w:rPr>
      </w:pPr>
      <w:r>
        <w:rPr>
          <w:rFonts w:eastAsia="Tahoma"/>
          <w:lang w:val="de-DE"/>
        </w:rPr>
        <w:t xml:space="preserve">Datenerfassung. </w:t>
      </w:r>
      <w:r>
        <w:rPr>
          <w:rFonts w:eastAsia="Tahoma"/>
          <w:b w:val="0"/>
          <w:bCs w:val="0"/>
          <w:lang w:val="de-DE"/>
        </w:rPr>
        <w:t xml:space="preserve">Die Software erhebt möglicherweise Informationen über Sie und Ihre Verwendung der Software und sendet diese an Microsoft. Microsoft kann diese Informationen verwenden, um unsere Produkte und Dienste bereitzustellen und zu verbessern. Sie können sich gegen viele dieser Szenarios entscheiden, jedoch nicht gegen alle, wie in der Softwaredokumentation beschrieben.  Die Software besitzt </w:t>
      </w:r>
      <w:r>
        <w:rPr>
          <w:rFonts w:eastAsia="Tahoma"/>
          <w:b w:val="0"/>
          <w:bCs w:val="0"/>
          <w:color w:val="000000"/>
          <w:lang w:val="de-DE"/>
        </w:rPr>
        <w:t>auch einige Funktionen, mit denen Sie und Microsoft Informationen über die Nutzer Ihrer Anwendungen sammeln können.</w:t>
      </w:r>
      <w:r>
        <w:rPr>
          <w:rFonts w:eastAsia="Tahoma"/>
          <w:b w:val="0"/>
          <w:bCs w:val="0"/>
          <w:lang w:val="de-DE"/>
        </w:rPr>
        <w:t xml:space="preserve"> Wenn Sie diese Funktionen nutzen, müssen Sie die geltenden Gesetze einhalten, einschließlich der Bereitstellung entsprechender Hinweise für Nutzer Ihrer Anwendungen zusammen mit einer Kopie der Datenschutzerklärung von Microsoft. Unsere Datenschutzerklärung finden Sie unter </w:t>
      </w:r>
      <w:hyperlink r:id="rId7" w:history="1">
        <w:r>
          <w:rPr>
            <w:rFonts w:eastAsia="Tahoma" w:cs="Times New Roman"/>
            <w:b w:val="0"/>
            <w:bCs w:val="0"/>
            <w:color w:val="0000FF"/>
            <w:u w:val="single"/>
            <w:lang w:val="de-DE"/>
          </w:rPr>
          <w:t>https://go.microsoft.com/fwlink/?LinkID=824704</w:t>
        </w:r>
      </w:hyperlink>
      <w:r>
        <w:rPr>
          <w:rFonts w:eastAsia="Tahoma" w:cs="Times New Roman"/>
          <w:b w:val="0"/>
          <w:bCs w:val="0"/>
          <w:color w:val="0000FF"/>
          <w:u w:val="single"/>
          <w:lang w:val="de-DE"/>
        </w:rPr>
        <w:t xml:space="preserve">. </w:t>
      </w:r>
      <w:r>
        <w:rPr>
          <w:rFonts w:eastAsia="Tahoma"/>
          <w:b w:val="0"/>
          <w:bCs w:val="0"/>
          <w:lang w:val="de-DE"/>
        </w:rPr>
        <w:t>Mehr über Datensammlung und deren Nutzung können Sie in der Softwaredokumentation und in unserer Datenschutzerklärung erfahren. Durch die Nutzung der Software erklären Sie sich mit diesen Praktiken einverstanden.</w:t>
      </w:r>
    </w:p>
    <w:p w14:paraId="54EC79CB" w14:textId="6D1B4464" w:rsidR="00495061" w:rsidRPr="00D03DE2" w:rsidRDefault="00D03DE2" w:rsidP="00495061">
      <w:pPr>
        <w:pStyle w:val="Heading2"/>
        <w:ind w:left="720" w:hanging="360"/>
        <w:rPr>
          <w:rFonts w:eastAsia="SimSun"/>
          <w:lang w:val="de-DE"/>
        </w:rPr>
      </w:pPr>
      <w:r>
        <w:rPr>
          <w:rFonts w:eastAsia="Tahoma"/>
          <w:lang w:val="de-DE"/>
        </w:rPr>
        <w:t xml:space="preserve">Verarbeitung personenbezogener Daten. </w:t>
      </w:r>
      <w:r>
        <w:rPr>
          <w:rFonts w:eastAsia="Tahoma"/>
          <w:b w:val="0"/>
          <w:bCs w:val="0"/>
          <w:lang w:val="de-DE"/>
        </w:rPr>
        <w:t xml:space="preserve">Soweit Microsoft im Zusammenhang mit der Software als Auftragsverarbeiter oder Unterauftragsverarbeiter von personenbezogenen Daten auftritt, geht Microsoft im Rahmen der Datenschutz-Grundverordnung der Europäischen Union zum 25. Mai 2018 allen Kunden gegenüber die Verpflichtungen gemäß den Bestimmungen für Onlinedienste ein, die unter </w:t>
      </w:r>
      <w:hyperlink r:id="rId8" w:history="1">
        <w:r>
          <w:rPr>
            <w:rFonts w:eastAsia="Tahoma"/>
            <w:b w:val="0"/>
            <w:bCs w:val="0"/>
            <w:color w:val="0000FF"/>
            <w:u w:val="single"/>
            <w:lang w:val="de-DE"/>
          </w:rPr>
          <w:t>https://docs.microsoft.com/en-us/legal/gdpr</w:t>
        </w:r>
      </w:hyperlink>
      <w:r>
        <w:rPr>
          <w:rFonts w:eastAsia="Tahoma"/>
          <w:b w:val="0"/>
          <w:bCs w:val="0"/>
          <w:lang w:val="de-DE"/>
        </w:rPr>
        <w:t xml:space="preserve"> verfügbar sind.</w:t>
      </w:r>
    </w:p>
    <w:p w14:paraId="0F093844" w14:textId="4563BD07" w:rsidR="00D61D35" w:rsidRPr="007869AA" w:rsidRDefault="00D03DE2" w:rsidP="00D61D35">
      <w:pPr>
        <w:pStyle w:val="Heading1"/>
        <w:ind w:left="360" w:hanging="360"/>
      </w:pPr>
      <w:r>
        <w:rPr>
          <w:rFonts w:eastAsia="Tahoma"/>
          <w:lang w:val="de-DE"/>
        </w:rPr>
        <w:lastRenderedPageBreak/>
        <w:t xml:space="preserve">LIZENZUMFANG. </w:t>
      </w:r>
      <w:r>
        <w:rPr>
          <w:rFonts w:eastAsia="Tahoma"/>
          <w:b w:val="0"/>
          <w:bCs w:val="0"/>
          <w:lang w:val="de-DE"/>
        </w:rPr>
        <w:t>Die Software wird lizenziert, nicht verkauft. Diese Lizenzbestimmungen gewähren Ihnen lediglich eingeschränkte Nutzungsrechte an der Software. Microsoft behält sich alle anderen Rechte vor. Sie dürfen die Software nur wie in diesen Lizenzbestimmungen ausdrücklich gestattet nutzen, es sei denn, das anwendbare Recht gibt Ihnen ungeachtet dieser Einschränkung umfassendere Rechte. Dabei sind Sie verpflichtet, alle technischen Beschränkungen der Software einzuhalten, die Ihnen nur spezielle Verwendungen gestatten. Des Weiteren ist Ihnen untersagt:</w:t>
      </w:r>
    </w:p>
    <w:p w14:paraId="6FC0422C" w14:textId="77777777" w:rsidR="00D61D35" w:rsidRPr="00D03DE2" w:rsidRDefault="00D03DE2" w:rsidP="00D61D35">
      <w:pPr>
        <w:pStyle w:val="Bullet4"/>
        <w:rPr>
          <w:lang w:val="de-DE"/>
        </w:rPr>
      </w:pPr>
      <w:r>
        <w:rPr>
          <w:rFonts w:eastAsia="Tahoma"/>
          <w:lang w:val="de-DE"/>
        </w:rPr>
        <w:t>technische Beschränkungen der Software zu umgehen;</w:t>
      </w:r>
    </w:p>
    <w:p w14:paraId="3DB7780A" w14:textId="57AB7A98" w:rsidR="00D61D35" w:rsidRPr="00D03DE2" w:rsidRDefault="00D03DE2" w:rsidP="00D61D35">
      <w:pPr>
        <w:pStyle w:val="Bullet4"/>
        <w:rPr>
          <w:rFonts w:eastAsia="SimSun"/>
          <w:lang w:val="de-DE"/>
        </w:rPr>
      </w:pPr>
      <w:r>
        <w:rPr>
          <w:rFonts w:eastAsia="Tahoma"/>
          <w:lang w:val="de-DE"/>
        </w:rPr>
        <w:t>die Software zurückzuentwickeln, zu dekompilieren oder zu disassemblieren oder anderweitig zu versuchen, den Quellcode für die Software abzuleiten, außer und nur insofern wie dies in den Lizenzierungsbestimmungen für Dritte vorgesehen ist, die die Verwendung bestimmter Open-Source-Komponenten regeln, die in der Software enthalten sein können,</w:t>
      </w:r>
    </w:p>
    <w:p w14:paraId="4284DA65" w14:textId="77777777" w:rsidR="00D61D35" w:rsidRPr="00D03DE2" w:rsidRDefault="00D03DE2" w:rsidP="00D61D35">
      <w:pPr>
        <w:pStyle w:val="Bullet4"/>
        <w:rPr>
          <w:lang w:val="de-DE"/>
        </w:rPr>
      </w:pPr>
      <w:r>
        <w:rPr>
          <w:rFonts w:eastAsia="Tahoma"/>
          <w:lang w:val="de-DE"/>
        </w:rPr>
        <w:t>Mitteilungen der Firma Microsoft oder ihrer Lieferanten in der Software zu entfernen, zu minimieren, zu blockieren oder zu verändern,</w:t>
      </w:r>
    </w:p>
    <w:p w14:paraId="7DBB2875" w14:textId="688AFF92" w:rsidR="00D61D35" w:rsidRPr="00D03DE2" w:rsidRDefault="00D03DE2" w:rsidP="00D61D35">
      <w:pPr>
        <w:pStyle w:val="Bullet4"/>
        <w:rPr>
          <w:lang w:val="de-DE"/>
        </w:rPr>
      </w:pPr>
      <w:r>
        <w:rPr>
          <w:rFonts w:eastAsia="Tahoma"/>
          <w:lang w:val="de-DE"/>
        </w:rPr>
        <w:t xml:space="preserve">die Software auf eine Weise zu verwenden, die gegen das Gesetz verstößt, </w:t>
      </w:r>
    </w:p>
    <w:p w14:paraId="6BB002F3" w14:textId="377B6286" w:rsidR="00C41639" w:rsidRPr="00D03DE2" w:rsidRDefault="00D03DE2" w:rsidP="00D61D35">
      <w:pPr>
        <w:pStyle w:val="Bullet4"/>
        <w:rPr>
          <w:lang w:val="de-DE"/>
        </w:rPr>
      </w:pPr>
      <w:r>
        <w:rPr>
          <w:rFonts w:eastAsia="Tahoma"/>
          <w:lang w:val="de-DE"/>
        </w:rPr>
        <w:t xml:space="preserve">die Software gemeinsam zu nutzen, zu veröffentlichen, zu vermieten oder zu leasen; oder </w:t>
      </w:r>
    </w:p>
    <w:p w14:paraId="100C138F" w14:textId="137F8A65" w:rsidR="00D61D35" w:rsidRPr="00D03DE2" w:rsidRDefault="00D03DE2" w:rsidP="00D61D35">
      <w:pPr>
        <w:pStyle w:val="Bullet4"/>
        <w:rPr>
          <w:lang w:val="de-DE"/>
        </w:rPr>
      </w:pPr>
      <w:r>
        <w:rPr>
          <w:rFonts w:eastAsia="Tahoma"/>
          <w:lang w:val="de-DE"/>
        </w:rPr>
        <w:t>die Software als eigenständiges Angebot zur Verfügung zu stellen oder sie mit einer anderen Ihrer Anwendungen für die Nutzung oder die Übertragung der Software oder dieser Vereinbarung durch andere zu kombinieren.</w:t>
      </w:r>
    </w:p>
    <w:p w14:paraId="3A56FC96" w14:textId="75B67589" w:rsidR="00D61D35" w:rsidRPr="00D03DE2" w:rsidRDefault="00D03DE2" w:rsidP="00D61D35">
      <w:pPr>
        <w:pStyle w:val="Heading1"/>
        <w:ind w:left="360" w:hanging="360"/>
        <w:rPr>
          <w:u w:val="single"/>
          <w:lang w:val="de-DE"/>
        </w:rPr>
      </w:pPr>
      <w:r>
        <w:rPr>
          <w:rFonts w:eastAsia="Tahoma"/>
          <w:lang w:val="de-DE"/>
        </w:rPr>
        <w:t xml:space="preserve">SUPPORT. </w:t>
      </w:r>
      <w:hyperlink r:id="rId9" w:history="1">
        <w:r>
          <w:rPr>
            <w:rFonts w:eastAsia="Tahoma"/>
            <w:b w:val="0"/>
            <w:bCs w:val="0"/>
            <w:lang w:val="de-DE"/>
          </w:rPr>
          <w:t>Da</w:t>
        </w:r>
      </w:hyperlink>
      <w:r>
        <w:rPr>
          <w:rFonts w:eastAsia="Tahoma"/>
          <w:b w:val="0"/>
          <w:bCs w:val="0"/>
          <w:lang w:val="de-DE"/>
        </w:rPr>
        <w:t xml:space="preserve"> die Software „in der vorliegenden Form“ besteht, können wir keine Supportleistungen für sie erbringen.</w:t>
      </w:r>
    </w:p>
    <w:p w14:paraId="3624E3B4" w14:textId="77777777" w:rsidR="00D61D35" w:rsidRPr="00D03DE2" w:rsidRDefault="00D03DE2" w:rsidP="00D61D35">
      <w:pPr>
        <w:pStyle w:val="Heading1"/>
        <w:ind w:left="360" w:hanging="360"/>
        <w:rPr>
          <w:lang w:val="de-DE"/>
        </w:rPr>
      </w:pPr>
      <w:r>
        <w:rPr>
          <w:rFonts w:eastAsia="Tahoma"/>
          <w:lang w:val="de-DE"/>
        </w:rPr>
        <w:t xml:space="preserve">GESAMTVEREINBARUNG. </w:t>
      </w:r>
      <w:r>
        <w:rPr>
          <w:rFonts w:eastAsia="Tahoma"/>
          <w:b w:val="0"/>
          <w:bCs w:val="0"/>
          <w:lang w:val="de-DE"/>
        </w:rPr>
        <w:t>Diese Vereinbarung sowie die Bestimmungen für von Ihnen genutzte Ergänzungen, Aktualisierungen, internetbasierte Dienste und Supportleistungen stellen die Gesamtvereinbarung über die Software und die Supportleistungen dar.</w:t>
      </w:r>
    </w:p>
    <w:p w14:paraId="404048BB" w14:textId="77777777" w:rsidR="00B51307" w:rsidRPr="00D03DE2" w:rsidRDefault="00D03DE2" w:rsidP="00B51307">
      <w:pPr>
        <w:pStyle w:val="Heading1"/>
        <w:ind w:left="360" w:hanging="360"/>
        <w:rPr>
          <w:rStyle w:val="Hyperlink"/>
          <w:rFonts w:cs="Tahoma"/>
          <w:b w:val="0"/>
          <w:color w:val="auto"/>
          <w:u w:val="none"/>
          <w:lang w:val="de-DE"/>
        </w:rPr>
      </w:pPr>
      <w:r>
        <w:rPr>
          <w:rFonts w:eastAsia="Tahoma"/>
          <w:lang w:val="de-DE"/>
        </w:rPr>
        <w:t xml:space="preserve">EXPORTBESCHRÄNKUNGEN.  </w:t>
      </w:r>
      <w:r>
        <w:rPr>
          <w:rFonts w:eastAsia="Tahoma"/>
          <w:b w:val="0"/>
          <w:bCs w:val="0"/>
          <w:lang w:val="de-DE"/>
        </w:rPr>
        <w:t xml:space="preserve">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0" w:history="1">
        <w:r>
          <w:rPr>
            <w:rFonts w:eastAsia="Tahoma"/>
            <w:b w:val="0"/>
            <w:bCs w:val="0"/>
            <w:color w:val="0000FF"/>
            <w:u w:val="single"/>
            <w:lang w:val="de-DE"/>
          </w:rPr>
          <w:t>www.microsoft.com/exporting</w:t>
        </w:r>
      </w:hyperlink>
      <w:r>
        <w:rPr>
          <w:rFonts w:eastAsia="Tahoma"/>
          <w:b w:val="0"/>
          <w:bCs w:val="0"/>
          <w:color w:val="0000FF"/>
          <w:u w:val="single"/>
          <w:lang w:val="de-DE"/>
        </w:rPr>
        <w:t>.</w:t>
      </w:r>
    </w:p>
    <w:p w14:paraId="7D330DB0" w14:textId="77777777" w:rsidR="00D61D35" w:rsidRPr="00D03DE2" w:rsidRDefault="00D03DE2" w:rsidP="00D61D35">
      <w:pPr>
        <w:pStyle w:val="Heading1"/>
        <w:ind w:left="360" w:hanging="360"/>
        <w:rPr>
          <w:lang w:val="de-DE"/>
        </w:rPr>
      </w:pPr>
      <w:r>
        <w:rPr>
          <w:rFonts w:eastAsia="Tahoma"/>
          <w:lang w:val="de-DE"/>
        </w:rPr>
        <w:t xml:space="preserve">ANWENDBARES RECHT. </w:t>
      </w:r>
      <w:r>
        <w:rPr>
          <w:rFonts w:eastAsia="Tahoma"/>
          <w:b w:val="0"/>
          <w:bCs w:val="0"/>
          <w:lang w:val="de-DE"/>
        </w:rPr>
        <w:t>Wenn Sie die Software in den USA erworben haben, gelten für die Auslegung und die Ansprüche aus Verletzung dieser Vereinbarung die Gesetze des Bundesstaats Washington und für alle anderen Ansprüche die Gesetze Ihres Wohnsitzstaates. Wenn Sie die Software in einem anderen Land erworben haben, gelten die Gesetze dieses Landes.</w:t>
      </w:r>
    </w:p>
    <w:p w14:paraId="2AA11E63" w14:textId="038B13A1" w:rsidR="000E0F9C" w:rsidRPr="00D03DE2" w:rsidRDefault="00D03DE2" w:rsidP="00465345">
      <w:pPr>
        <w:pStyle w:val="Heading1"/>
        <w:tabs>
          <w:tab w:val="num" w:pos="540"/>
        </w:tabs>
        <w:ind w:left="360" w:hanging="360"/>
        <w:rPr>
          <w:b w:val="0"/>
          <w:lang w:val="de-DE"/>
        </w:rPr>
      </w:pPr>
      <w:r>
        <w:rPr>
          <w:rFonts w:eastAsia="Tahoma"/>
          <w:lang w:val="de-DE"/>
        </w:rPr>
        <w:t xml:space="preserve">VERBRAUCHERRECHTE, REGIONALE VARIANTEN. </w:t>
      </w:r>
      <w:r>
        <w:rPr>
          <w:rFonts w:eastAsia="Tahoma"/>
          <w:b w:val="0"/>
          <w:bCs w:val="0"/>
          <w:lang w:val="de-DE"/>
        </w:rPr>
        <w:t>Diese Lizenzbestimmungen beschreiben bestimmte gesetzliche Rechte. Möglicherweise sehen die Gesetze Ihres Staates oder Landes andere Rechte vor, einschließlich Verbraucherrechte. Möglicherweise haben Sie auch Rechte gegenüber der Partei, von der Sie die Software erworben haben. Diese Vereinbarung ändert diese anderen Rechte nicht, wenn die Gesetze Ihres Bundesstaates oder Landes dies nicht gestatten. Wenn Sie die Software beispielsweise in einer der unten genannten Regionen erworben haben oder zwingendes Recht des Landes Anwendung findet, gelten die folgenden Bestimmungen für Sie:</w:t>
      </w:r>
    </w:p>
    <w:p w14:paraId="021782C7" w14:textId="46192374" w:rsidR="000E0F9C" w:rsidRPr="00D03DE2" w:rsidRDefault="00D03DE2" w:rsidP="000E0F9C">
      <w:pPr>
        <w:pStyle w:val="Heading2"/>
        <w:numPr>
          <w:ilvl w:val="0"/>
          <w:numId w:val="10"/>
        </w:numPr>
        <w:tabs>
          <w:tab w:val="clear" w:pos="7923"/>
        </w:tabs>
        <w:rPr>
          <w:b w:val="0"/>
          <w:lang w:val="de-DE"/>
        </w:rPr>
      </w:pPr>
      <w:r>
        <w:rPr>
          <w:rFonts w:eastAsia="Tahoma"/>
          <w:lang w:val="de-DE"/>
        </w:rPr>
        <w:t xml:space="preserve">Australien. </w:t>
      </w:r>
      <w:r>
        <w:rPr>
          <w:rFonts w:eastAsia="Tahoma"/>
          <w:b w:val="0"/>
          <w:bCs w:val="0"/>
          <w:lang w:val="de-DE"/>
        </w:rPr>
        <w:t>Nach dem Australian Consumer Law gelten gesetzliche Garantien, und es besteht an keiner Stelle in diesen Lizenzbestimmungen die Absicht, diese Rechte einzuschränken.</w:t>
      </w:r>
    </w:p>
    <w:p w14:paraId="5B00B25B" w14:textId="42F96AB1" w:rsidR="000E0F9C" w:rsidRPr="00D03DE2" w:rsidRDefault="00D03DE2" w:rsidP="000E0F9C">
      <w:pPr>
        <w:pStyle w:val="Heading2"/>
        <w:numPr>
          <w:ilvl w:val="0"/>
          <w:numId w:val="10"/>
        </w:numPr>
        <w:tabs>
          <w:tab w:val="clear" w:pos="7923"/>
        </w:tabs>
        <w:rPr>
          <w:b w:val="0"/>
          <w:lang w:val="de-DE"/>
        </w:rPr>
      </w:pPr>
      <w:r>
        <w:rPr>
          <w:rFonts w:eastAsia="Tahoma"/>
          <w:lang w:val="de-DE"/>
        </w:rPr>
        <w:t xml:space="preserve">Kanada. </w:t>
      </w:r>
      <w:r>
        <w:rPr>
          <w:rFonts w:eastAsia="Tahoma"/>
          <w:b w:val="0"/>
          <w:bCs w:val="0"/>
          <w:lang w:val="de-DE"/>
        </w:rPr>
        <w:t>Sie können den Erhalt von Aktualisierungen stoppen, indem Sie den Internetzugriff deaktivieren. Sobald Sie wieder eine Internetverbindung herstellen, sucht die Software wieder nach Aktualisierungen und installiert diese.</w:t>
      </w:r>
    </w:p>
    <w:p w14:paraId="44C73164" w14:textId="77777777" w:rsidR="000E0F9C" w:rsidRPr="00465345" w:rsidRDefault="00D03DE2" w:rsidP="000E0F9C">
      <w:pPr>
        <w:pStyle w:val="Heading2"/>
        <w:numPr>
          <w:ilvl w:val="0"/>
          <w:numId w:val="10"/>
        </w:numPr>
        <w:tabs>
          <w:tab w:val="clear" w:pos="7923"/>
        </w:tabs>
        <w:rPr>
          <w:b w:val="0"/>
        </w:rPr>
      </w:pPr>
      <w:r>
        <w:rPr>
          <w:rFonts w:eastAsia="Tahoma"/>
          <w:lang w:val="de-DE"/>
        </w:rPr>
        <w:t>Deutschland und Österreich</w:t>
      </w:r>
      <w:r>
        <w:rPr>
          <w:rFonts w:eastAsia="Tahoma"/>
          <w:b w:val="0"/>
          <w:bCs w:val="0"/>
          <w:lang w:val="de-DE"/>
        </w:rPr>
        <w:t>.</w:t>
      </w:r>
    </w:p>
    <w:p w14:paraId="28BE9C20" w14:textId="53D5FC65" w:rsidR="000E0F9C" w:rsidRPr="00D03DE2" w:rsidRDefault="00D03DE2" w:rsidP="000E0F9C">
      <w:pPr>
        <w:ind w:left="717"/>
        <w:rPr>
          <w:lang w:val="de-DE"/>
        </w:rPr>
      </w:pPr>
      <w:r>
        <w:rPr>
          <w:rFonts w:eastAsia="Tahoma"/>
          <w:b/>
          <w:bCs/>
          <w:lang w:val="de-DE"/>
        </w:rPr>
        <w:t>(i)</w:t>
      </w:r>
      <w:r>
        <w:rPr>
          <w:rFonts w:eastAsia="Tahoma"/>
          <w:lang w:val="de-DE"/>
        </w:rPr>
        <w:tab/>
      </w:r>
      <w:r>
        <w:rPr>
          <w:rFonts w:eastAsia="Tahoma"/>
          <w:b/>
          <w:bCs/>
          <w:lang w:val="de-DE"/>
        </w:rPr>
        <w:t>Gewährleistung.</w:t>
      </w:r>
      <w:r>
        <w:rPr>
          <w:rFonts w:eastAsia="Tahoma"/>
          <w:lang w:val="de-DE"/>
        </w:rPr>
        <w:t xml:space="preserve"> Die ordnungsgemäß lizenzierte Software wird im Wesentlichen so funktionieren, wie in den sie begleitenden Microsoft-Unterlagen beschrieben. Jedoch gewährt Microsoft keine vertragliche Garantie in Bezug auf die Software.</w:t>
      </w:r>
    </w:p>
    <w:p w14:paraId="33784673" w14:textId="77777777" w:rsidR="000E0F9C" w:rsidRPr="00D03DE2" w:rsidRDefault="00D03DE2" w:rsidP="000E0F9C">
      <w:pPr>
        <w:ind w:left="717"/>
        <w:rPr>
          <w:lang w:val="de-DE"/>
        </w:rPr>
      </w:pPr>
      <w:r>
        <w:rPr>
          <w:rFonts w:eastAsia="Tahoma"/>
          <w:b/>
          <w:bCs/>
          <w:lang w:val="de-DE"/>
        </w:rPr>
        <w:lastRenderedPageBreak/>
        <w:t>(ii)</w:t>
      </w:r>
      <w:r>
        <w:rPr>
          <w:rFonts w:eastAsia="Tahoma"/>
          <w:lang w:val="de-DE"/>
        </w:rPr>
        <w:tab/>
      </w:r>
      <w:r>
        <w:rPr>
          <w:rFonts w:eastAsia="Tahoma"/>
          <w:b/>
          <w:bCs/>
          <w:lang w:val="de-DE"/>
        </w:rPr>
        <w:t>Haftungsbeschränkung.</w:t>
      </w:r>
      <w:r>
        <w:rPr>
          <w:rFonts w:eastAsia="Tahoma"/>
          <w:lang w:val="de-DE"/>
        </w:rPr>
        <w:t xml:space="preserve"> Bei Vorsatz, grober Fahrlässigkeit und Ansprüchen nach dem Produkthaftungsgesetz sowie bei Tod oder Körperverletzung haftet Microsoft nach den gesetzlichen Bestimmungen.</w:t>
      </w:r>
    </w:p>
    <w:p w14:paraId="283386EA" w14:textId="53409BA3" w:rsidR="003F0C02" w:rsidRPr="00465345" w:rsidRDefault="00D03DE2" w:rsidP="000E0F9C">
      <w:pPr>
        <w:pStyle w:val="Heading1"/>
        <w:numPr>
          <w:ilvl w:val="0"/>
          <w:numId w:val="0"/>
        </w:numPr>
        <w:ind w:left="717"/>
        <w:rPr>
          <w:b w:val="0"/>
        </w:rPr>
      </w:pPr>
      <w:r>
        <w:rPr>
          <w:rFonts w:eastAsia="Tahoma"/>
          <w:b w:val="0"/>
          <w:lang w:val="de-DE"/>
        </w:rPr>
        <w:t>Vorbehaltlich des vorangegangenen Satzes (ii) haftet Microsoft nur dann für leichte Fahrlässigkeit, wenn Microsoft diejenigen wesentlichen Vertragspflichten verletzt, deren Erfüllung die ordnungsgemäße Durchführung dieser Vereinbarung überhaupt erst ermöglicht, deren Verletzung den Zweck dieser Vereinbarung gefährden würde und auf deren Einhaltung eine Partei regelmäßig vertrauen darf (sogenannte „Kardinalpflichten“). In anderen Fällen leichter Fahrlässigkeit haftet Microsoft nicht.</w:t>
      </w:r>
    </w:p>
    <w:p w14:paraId="5BCB9061" w14:textId="3B7E0C31" w:rsidR="00D61D35" w:rsidRPr="00D03DE2" w:rsidRDefault="00D03DE2" w:rsidP="00D61D35">
      <w:pPr>
        <w:pStyle w:val="Heading1"/>
        <w:ind w:left="360" w:hanging="360"/>
        <w:rPr>
          <w:caps/>
          <w:lang w:val="de-DE"/>
        </w:rPr>
      </w:pPr>
      <w:r>
        <w:rPr>
          <w:rFonts w:eastAsia="Tahoma"/>
          <w:lang w:val="de-DE"/>
        </w:rPr>
        <w:t xml:space="preserve">AUSSCHLUSS VON GARANTIEN. </w:t>
      </w:r>
      <w:r>
        <w:rPr>
          <w:rFonts w:eastAsia="Tahoma"/>
          <w:caps/>
          <w:lang w:val="de-DE"/>
        </w:rPr>
        <w:t>Die Software wird „wie besehen“ lizenziert.  Sie tragen das mit der Verwendung verbundene Risiko. Microsoft gewährt keine ausdrücklichen Gewährleistungen oder Garantien. In dem nach ihrem örtlich anwendbaren Recht zulässigen Umfang schlieSSt Microsoft konkludente Garantien der Handelsüblichkeit, Eignung für einen bestimmten Zweck und Nichtverletzung von Rechten Dritter aus.</w:t>
      </w:r>
    </w:p>
    <w:p w14:paraId="2B6EBD1F" w14:textId="204CE38A" w:rsidR="00D61D35" w:rsidRPr="00D03DE2" w:rsidRDefault="00D03DE2" w:rsidP="00D61D35">
      <w:pPr>
        <w:pStyle w:val="Heading1"/>
        <w:ind w:left="360" w:hanging="360"/>
        <w:rPr>
          <w:caps/>
          <w:lang w:val="de-DE"/>
        </w:rPr>
      </w:pPr>
      <w:r>
        <w:rPr>
          <w:rFonts w:eastAsia="Tahoma"/>
          <w:caps/>
          <w:lang w:val="de-DE"/>
        </w:rPr>
        <w:t>SCHADENSBEGRENZUNG. Sie können von Microsoft und deren Lieferanten nur einen Ersatz für direkte Schäden bis zu einem Betrag von 5,00 US-Dollar erhalten. Sie können keinen Ersatz für andere Schäden erhalten, einschlieSSlich Folgeschäden, Schäden aus entgangenem Gewinn, spezielle, indirekte oder zufällige Schäden.</w:t>
      </w:r>
    </w:p>
    <w:p w14:paraId="525A069B" w14:textId="77777777" w:rsidR="00D61D35" w:rsidRPr="00D03DE2" w:rsidRDefault="00D03DE2" w:rsidP="00D61D35">
      <w:pPr>
        <w:pStyle w:val="Body1"/>
        <w:rPr>
          <w:rFonts w:eastAsia="SimSun"/>
          <w:lang w:val="de-DE"/>
        </w:rPr>
      </w:pPr>
      <w:r>
        <w:rPr>
          <w:rFonts w:eastAsia="Tahoma"/>
          <w:lang w:val="de-DE"/>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62BC58ED" w14:textId="77777777" w:rsidR="00D61D35" w:rsidRPr="00D03DE2" w:rsidRDefault="00D03DE2" w:rsidP="00D61D35">
      <w:pPr>
        <w:pStyle w:val="Bullet4"/>
        <w:numPr>
          <w:ilvl w:val="0"/>
          <w:numId w:val="0"/>
        </w:numPr>
        <w:ind w:left="360"/>
        <w:rPr>
          <w:lang w:val="de-DE"/>
        </w:rPr>
      </w:pPr>
      <w:r>
        <w:rPr>
          <w:rFonts w:eastAsia="Tahoma"/>
          <w:lang w:val="de-DE"/>
        </w:rPr>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p>
    <w:p w14:paraId="6EAC5629" w14:textId="77777777" w:rsidR="000E0F9C" w:rsidRPr="00D03DE2" w:rsidRDefault="000E0F9C" w:rsidP="00D61D35">
      <w:pPr>
        <w:pStyle w:val="Bullet4"/>
        <w:numPr>
          <w:ilvl w:val="0"/>
          <w:numId w:val="0"/>
        </w:numPr>
        <w:ind w:left="360"/>
        <w:rPr>
          <w:lang w:val="de-DE"/>
        </w:rPr>
      </w:pPr>
    </w:p>
    <w:p w14:paraId="64724978" w14:textId="639754F2" w:rsidR="000E0F9C" w:rsidRPr="00664C34" w:rsidRDefault="00D03DE2" w:rsidP="00DF10EF">
      <w:pPr>
        <w:pStyle w:val="Bullet4"/>
        <w:numPr>
          <w:ilvl w:val="0"/>
          <w:numId w:val="0"/>
        </w:numPr>
      </w:pPr>
      <w:r w:rsidRPr="00664C34">
        <w:t>EU</w:t>
      </w:r>
      <w:r w:rsidR="00664C34">
        <w:t>LAID: VS_Community_2019_DEU.1031</w:t>
      </w:r>
    </w:p>
    <w:sectPr w:rsidR="000E0F9C" w:rsidRPr="00664C34"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1C1B" w14:textId="77777777" w:rsidR="001D6285" w:rsidRDefault="001D6285" w:rsidP="00664C34">
      <w:pPr>
        <w:spacing w:before="0" w:after="0"/>
      </w:pPr>
      <w:r>
        <w:separator/>
      </w:r>
    </w:p>
  </w:endnote>
  <w:endnote w:type="continuationSeparator" w:id="0">
    <w:p w14:paraId="1FF5AA0C" w14:textId="77777777" w:rsidR="001D6285" w:rsidRDefault="001D6285" w:rsidP="00664C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4370" w14:textId="77777777" w:rsidR="001D6285" w:rsidRDefault="001D6285" w:rsidP="00664C34">
      <w:pPr>
        <w:spacing w:before="0" w:after="0"/>
      </w:pPr>
      <w:r>
        <w:separator/>
      </w:r>
    </w:p>
  </w:footnote>
  <w:footnote w:type="continuationSeparator" w:id="0">
    <w:p w14:paraId="2CF0BAAD" w14:textId="77777777" w:rsidR="001D6285" w:rsidRDefault="001D6285" w:rsidP="00664C3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3364E82A">
      <w:start w:val="1"/>
      <w:numFmt w:val="bullet"/>
      <w:lvlText w:val=""/>
      <w:lvlJc w:val="left"/>
      <w:pPr>
        <w:ind w:left="1800" w:hanging="360"/>
      </w:pPr>
      <w:rPr>
        <w:rFonts w:ascii="Symbol" w:eastAsia="Times New Roman" w:hAnsi="Symbol" w:hint="default"/>
      </w:rPr>
    </w:lvl>
    <w:lvl w:ilvl="1" w:tplc="39108FE6" w:tentative="1">
      <w:start w:val="1"/>
      <w:numFmt w:val="bullet"/>
      <w:lvlText w:val="o"/>
      <w:lvlJc w:val="left"/>
      <w:pPr>
        <w:ind w:left="2520" w:hanging="360"/>
      </w:pPr>
      <w:rPr>
        <w:rFonts w:ascii="Courier New" w:hAnsi="Courier New" w:hint="default"/>
      </w:rPr>
    </w:lvl>
    <w:lvl w:ilvl="2" w:tplc="D3AE75DA" w:tentative="1">
      <w:start w:val="1"/>
      <w:numFmt w:val="bullet"/>
      <w:lvlText w:val=""/>
      <w:lvlJc w:val="left"/>
      <w:pPr>
        <w:ind w:left="3240" w:hanging="360"/>
      </w:pPr>
      <w:rPr>
        <w:rFonts w:ascii="Wingdings" w:hAnsi="Wingdings" w:hint="default"/>
      </w:rPr>
    </w:lvl>
    <w:lvl w:ilvl="3" w:tplc="AFA6177A" w:tentative="1">
      <w:start w:val="1"/>
      <w:numFmt w:val="bullet"/>
      <w:lvlText w:val=""/>
      <w:lvlJc w:val="left"/>
      <w:pPr>
        <w:ind w:left="3960" w:hanging="360"/>
      </w:pPr>
      <w:rPr>
        <w:rFonts w:ascii="Symbol" w:hAnsi="Symbol" w:hint="default"/>
      </w:rPr>
    </w:lvl>
    <w:lvl w:ilvl="4" w:tplc="0DC0E5C4" w:tentative="1">
      <w:start w:val="1"/>
      <w:numFmt w:val="bullet"/>
      <w:lvlText w:val="o"/>
      <w:lvlJc w:val="left"/>
      <w:pPr>
        <w:ind w:left="4680" w:hanging="360"/>
      </w:pPr>
      <w:rPr>
        <w:rFonts w:ascii="Courier New" w:hAnsi="Courier New" w:hint="default"/>
      </w:rPr>
    </w:lvl>
    <w:lvl w:ilvl="5" w:tplc="2020D27C" w:tentative="1">
      <w:start w:val="1"/>
      <w:numFmt w:val="bullet"/>
      <w:lvlText w:val=""/>
      <w:lvlJc w:val="left"/>
      <w:pPr>
        <w:ind w:left="5400" w:hanging="360"/>
      </w:pPr>
      <w:rPr>
        <w:rFonts w:ascii="Wingdings" w:hAnsi="Wingdings" w:hint="default"/>
      </w:rPr>
    </w:lvl>
    <w:lvl w:ilvl="6" w:tplc="58263992" w:tentative="1">
      <w:start w:val="1"/>
      <w:numFmt w:val="bullet"/>
      <w:lvlText w:val=""/>
      <w:lvlJc w:val="left"/>
      <w:pPr>
        <w:ind w:left="6120" w:hanging="360"/>
      </w:pPr>
      <w:rPr>
        <w:rFonts w:ascii="Symbol" w:hAnsi="Symbol" w:hint="default"/>
      </w:rPr>
    </w:lvl>
    <w:lvl w:ilvl="7" w:tplc="1F60EE8C" w:tentative="1">
      <w:start w:val="1"/>
      <w:numFmt w:val="bullet"/>
      <w:lvlText w:val="o"/>
      <w:lvlJc w:val="left"/>
      <w:pPr>
        <w:ind w:left="6840" w:hanging="360"/>
      </w:pPr>
      <w:rPr>
        <w:rFonts w:ascii="Courier New" w:hAnsi="Courier New" w:hint="default"/>
      </w:rPr>
    </w:lvl>
    <w:lvl w:ilvl="8" w:tplc="3246F3A0"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63C01F02">
      <w:start w:val="1"/>
      <w:numFmt w:val="bullet"/>
      <w:pStyle w:val="Bullet2"/>
      <w:lvlText w:val=""/>
      <w:lvlJc w:val="left"/>
      <w:pPr>
        <w:tabs>
          <w:tab w:val="num" w:pos="720"/>
        </w:tabs>
        <w:ind w:left="720" w:hanging="363"/>
      </w:pPr>
      <w:rPr>
        <w:rFonts w:ascii="Symbol" w:hAnsi="Symbol" w:hint="default"/>
      </w:rPr>
    </w:lvl>
    <w:lvl w:ilvl="1" w:tplc="E06A03CA">
      <w:start w:val="1"/>
      <w:numFmt w:val="bullet"/>
      <w:lvlText w:val="o"/>
      <w:lvlJc w:val="left"/>
      <w:pPr>
        <w:tabs>
          <w:tab w:val="num" w:pos="1440"/>
        </w:tabs>
        <w:ind w:left="1440" w:hanging="360"/>
      </w:pPr>
      <w:rPr>
        <w:rFonts w:ascii="Courier New" w:hAnsi="Courier New" w:hint="default"/>
      </w:rPr>
    </w:lvl>
    <w:lvl w:ilvl="2" w:tplc="9F82EE2A">
      <w:start w:val="1"/>
      <w:numFmt w:val="bullet"/>
      <w:lvlText w:val=""/>
      <w:lvlJc w:val="left"/>
      <w:pPr>
        <w:tabs>
          <w:tab w:val="num" w:pos="2160"/>
        </w:tabs>
        <w:ind w:left="2160" w:hanging="360"/>
      </w:pPr>
      <w:rPr>
        <w:rFonts w:ascii="Wingdings" w:hAnsi="Wingdings" w:hint="default"/>
      </w:rPr>
    </w:lvl>
    <w:lvl w:ilvl="3" w:tplc="7502322E">
      <w:start w:val="1"/>
      <w:numFmt w:val="bullet"/>
      <w:lvlText w:val=""/>
      <w:lvlJc w:val="left"/>
      <w:pPr>
        <w:tabs>
          <w:tab w:val="num" w:pos="2880"/>
        </w:tabs>
        <w:ind w:left="2880" w:hanging="360"/>
      </w:pPr>
      <w:rPr>
        <w:rFonts w:ascii="Symbol" w:hAnsi="Symbol" w:hint="default"/>
      </w:rPr>
    </w:lvl>
    <w:lvl w:ilvl="4" w:tplc="7F4C2D40">
      <w:start w:val="1"/>
      <w:numFmt w:val="bullet"/>
      <w:lvlText w:val="o"/>
      <w:lvlJc w:val="left"/>
      <w:pPr>
        <w:tabs>
          <w:tab w:val="num" w:pos="3600"/>
        </w:tabs>
        <w:ind w:left="3600" w:hanging="360"/>
      </w:pPr>
      <w:rPr>
        <w:rFonts w:ascii="Courier New" w:hAnsi="Courier New" w:hint="default"/>
      </w:rPr>
    </w:lvl>
    <w:lvl w:ilvl="5" w:tplc="45706BEC">
      <w:start w:val="1"/>
      <w:numFmt w:val="bullet"/>
      <w:lvlText w:val=""/>
      <w:lvlJc w:val="left"/>
      <w:pPr>
        <w:tabs>
          <w:tab w:val="num" w:pos="4320"/>
        </w:tabs>
        <w:ind w:left="4320" w:hanging="360"/>
      </w:pPr>
      <w:rPr>
        <w:rFonts w:ascii="Wingdings" w:hAnsi="Wingdings" w:hint="default"/>
      </w:rPr>
    </w:lvl>
    <w:lvl w:ilvl="6" w:tplc="A6FECFF6">
      <w:start w:val="1"/>
      <w:numFmt w:val="bullet"/>
      <w:lvlText w:val=""/>
      <w:lvlJc w:val="left"/>
      <w:pPr>
        <w:tabs>
          <w:tab w:val="num" w:pos="5040"/>
        </w:tabs>
        <w:ind w:left="5040" w:hanging="360"/>
      </w:pPr>
      <w:rPr>
        <w:rFonts w:ascii="Symbol" w:hAnsi="Symbol" w:hint="default"/>
      </w:rPr>
    </w:lvl>
    <w:lvl w:ilvl="7" w:tplc="9EE4238E">
      <w:start w:val="1"/>
      <w:numFmt w:val="bullet"/>
      <w:lvlText w:val="o"/>
      <w:lvlJc w:val="left"/>
      <w:pPr>
        <w:tabs>
          <w:tab w:val="num" w:pos="5760"/>
        </w:tabs>
        <w:ind w:left="5760" w:hanging="360"/>
      </w:pPr>
      <w:rPr>
        <w:rFonts w:ascii="Courier New" w:hAnsi="Courier New" w:hint="default"/>
      </w:rPr>
    </w:lvl>
    <w:lvl w:ilvl="8" w:tplc="883E288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126C36B0">
      <w:start w:val="1"/>
      <w:numFmt w:val="bullet"/>
      <w:pStyle w:val="Bullet4"/>
      <w:lvlText w:val=""/>
      <w:lvlJc w:val="left"/>
      <w:pPr>
        <w:tabs>
          <w:tab w:val="num" w:pos="1080"/>
        </w:tabs>
        <w:ind w:left="1078" w:hanging="358"/>
      </w:pPr>
      <w:rPr>
        <w:rFonts w:ascii="Symbol" w:hAnsi="Symbol" w:hint="default"/>
      </w:rPr>
    </w:lvl>
    <w:lvl w:ilvl="1" w:tplc="4E7657FC">
      <w:start w:val="1"/>
      <w:numFmt w:val="bullet"/>
      <w:lvlText w:val="o"/>
      <w:lvlJc w:val="left"/>
      <w:pPr>
        <w:tabs>
          <w:tab w:val="num" w:pos="1083"/>
        </w:tabs>
        <w:ind w:left="1083" w:hanging="360"/>
      </w:pPr>
      <w:rPr>
        <w:rFonts w:ascii="Courier New" w:hAnsi="Courier New" w:hint="default"/>
      </w:rPr>
    </w:lvl>
    <w:lvl w:ilvl="2" w:tplc="C60C2C4C">
      <w:start w:val="1"/>
      <w:numFmt w:val="bullet"/>
      <w:lvlText w:val=""/>
      <w:lvlJc w:val="left"/>
      <w:pPr>
        <w:tabs>
          <w:tab w:val="num" w:pos="1803"/>
        </w:tabs>
        <w:ind w:left="1803" w:hanging="360"/>
      </w:pPr>
      <w:rPr>
        <w:rFonts w:ascii="Wingdings" w:hAnsi="Wingdings" w:hint="default"/>
      </w:rPr>
    </w:lvl>
    <w:lvl w:ilvl="3" w:tplc="BFC6C31A">
      <w:start w:val="1"/>
      <w:numFmt w:val="bullet"/>
      <w:lvlText w:val=""/>
      <w:lvlJc w:val="left"/>
      <w:pPr>
        <w:tabs>
          <w:tab w:val="num" w:pos="2523"/>
        </w:tabs>
        <w:ind w:left="2523" w:hanging="360"/>
      </w:pPr>
      <w:rPr>
        <w:rFonts w:ascii="Symbol" w:hAnsi="Symbol" w:hint="default"/>
      </w:rPr>
    </w:lvl>
    <w:lvl w:ilvl="4" w:tplc="6700D93C">
      <w:start w:val="1"/>
      <w:numFmt w:val="bullet"/>
      <w:lvlText w:val="o"/>
      <w:lvlJc w:val="left"/>
      <w:pPr>
        <w:tabs>
          <w:tab w:val="num" w:pos="3243"/>
        </w:tabs>
        <w:ind w:left="3243" w:hanging="360"/>
      </w:pPr>
      <w:rPr>
        <w:rFonts w:ascii="Courier New" w:hAnsi="Courier New" w:hint="default"/>
      </w:rPr>
    </w:lvl>
    <w:lvl w:ilvl="5" w:tplc="4F02667E">
      <w:start w:val="1"/>
      <w:numFmt w:val="bullet"/>
      <w:lvlText w:val=""/>
      <w:lvlJc w:val="left"/>
      <w:pPr>
        <w:tabs>
          <w:tab w:val="num" w:pos="3963"/>
        </w:tabs>
        <w:ind w:left="3963" w:hanging="360"/>
      </w:pPr>
      <w:rPr>
        <w:rFonts w:ascii="Wingdings" w:hAnsi="Wingdings" w:hint="default"/>
      </w:rPr>
    </w:lvl>
    <w:lvl w:ilvl="6" w:tplc="475AD4DC">
      <w:start w:val="1"/>
      <w:numFmt w:val="bullet"/>
      <w:lvlText w:val=""/>
      <w:lvlJc w:val="left"/>
      <w:pPr>
        <w:tabs>
          <w:tab w:val="num" w:pos="4683"/>
        </w:tabs>
        <w:ind w:left="4683" w:hanging="360"/>
      </w:pPr>
      <w:rPr>
        <w:rFonts w:ascii="Symbol" w:hAnsi="Symbol" w:hint="default"/>
      </w:rPr>
    </w:lvl>
    <w:lvl w:ilvl="7" w:tplc="7640EB80">
      <w:start w:val="1"/>
      <w:numFmt w:val="bullet"/>
      <w:lvlText w:val="o"/>
      <w:lvlJc w:val="left"/>
      <w:pPr>
        <w:tabs>
          <w:tab w:val="num" w:pos="5403"/>
        </w:tabs>
        <w:ind w:left="5403" w:hanging="360"/>
      </w:pPr>
      <w:rPr>
        <w:rFonts w:ascii="Courier New" w:hAnsi="Courier New" w:hint="default"/>
      </w:rPr>
    </w:lvl>
    <w:lvl w:ilvl="8" w:tplc="0AC4799E">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B43C128A">
      <w:start w:val="1"/>
      <w:numFmt w:val="bullet"/>
      <w:pStyle w:val="Bullet3"/>
      <w:lvlText w:val=""/>
      <w:lvlJc w:val="left"/>
      <w:pPr>
        <w:tabs>
          <w:tab w:val="num" w:pos="1800"/>
        </w:tabs>
        <w:ind w:left="1797" w:hanging="357"/>
      </w:pPr>
      <w:rPr>
        <w:rFonts w:ascii="Symbol" w:hAnsi="Symbol" w:hint="default"/>
      </w:rPr>
    </w:lvl>
    <w:lvl w:ilvl="1" w:tplc="BE3A448A">
      <w:start w:val="1"/>
      <w:numFmt w:val="bullet"/>
      <w:lvlText w:val="o"/>
      <w:lvlJc w:val="left"/>
      <w:pPr>
        <w:tabs>
          <w:tab w:val="num" w:pos="2160"/>
        </w:tabs>
        <w:ind w:left="2160" w:hanging="360"/>
      </w:pPr>
      <w:rPr>
        <w:rFonts w:ascii="Courier New" w:hAnsi="Courier New" w:hint="default"/>
      </w:rPr>
    </w:lvl>
    <w:lvl w:ilvl="2" w:tplc="D618E63C">
      <w:start w:val="1"/>
      <w:numFmt w:val="bullet"/>
      <w:lvlText w:val=""/>
      <w:lvlJc w:val="left"/>
      <w:pPr>
        <w:tabs>
          <w:tab w:val="num" w:pos="2880"/>
        </w:tabs>
        <w:ind w:left="2880" w:hanging="360"/>
      </w:pPr>
      <w:rPr>
        <w:rFonts w:ascii="Wingdings" w:hAnsi="Wingdings" w:hint="default"/>
      </w:rPr>
    </w:lvl>
    <w:lvl w:ilvl="3" w:tplc="38765DEC">
      <w:start w:val="1"/>
      <w:numFmt w:val="bullet"/>
      <w:lvlText w:val=""/>
      <w:lvlJc w:val="left"/>
      <w:pPr>
        <w:tabs>
          <w:tab w:val="num" w:pos="3600"/>
        </w:tabs>
        <w:ind w:left="3600" w:hanging="360"/>
      </w:pPr>
      <w:rPr>
        <w:rFonts w:ascii="Symbol" w:hAnsi="Symbol" w:hint="default"/>
      </w:rPr>
    </w:lvl>
    <w:lvl w:ilvl="4" w:tplc="B65A1212">
      <w:start w:val="1"/>
      <w:numFmt w:val="bullet"/>
      <w:lvlText w:val="o"/>
      <w:lvlJc w:val="left"/>
      <w:pPr>
        <w:tabs>
          <w:tab w:val="num" w:pos="4320"/>
        </w:tabs>
        <w:ind w:left="4320" w:hanging="360"/>
      </w:pPr>
      <w:rPr>
        <w:rFonts w:ascii="Courier New" w:hAnsi="Courier New" w:hint="default"/>
      </w:rPr>
    </w:lvl>
    <w:lvl w:ilvl="5" w:tplc="B12C55CA">
      <w:start w:val="1"/>
      <w:numFmt w:val="bullet"/>
      <w:lvlText w:val=""/>
      <w:lvlJc w:val="left"/>
      <w:pPr>
        <w:tabs>
          <w:tab w:val="num" w:pos="5040"/>
        </w:tabs>
        <w:ind w:left="5040" w:hanging="360"/>
      </w:pPr>
      <w:rPr>
        <w:rFonts w:ascii="Wingdings" w:hAnsi="Wingdings" w:hint="default"/>
      </w:rPr>
    </w:lvl>
    <w:lvl w:ilvl="6" w:tplc="C04485E2">
      <w:start w:val="1"/>
      <w:numFmt w:val="bullet"/>
      <w:lvlText w:val=""/>
      <w:lvlJc w:val="left"/>
      <w:pPr>
        <w:tabs>
          <w:tab w:val="num" w:pos="5760"/>
        </w:tabs>
        <w:ind w:left="5760" w:hanging="360"/>
      </w:pPr>
      <w:rPr>
        <w:rFonts w:ascii="Symbol" w:hAnsi="Symbol" w:hint="default"/>
      </w:rPr>
    </w:lvl>
    <w:lvl w:ilvl="7" w:tplc="99E4346C">
      <w:start w:val="1"/>
      <w:numFmt w:val="bullet"/>
      <w:lvlText w:val="o"/>
      <w:lvlJc w:val="left"/>
      <w:pPr>
        <w:tabs>
          <w:tab w:val="num" w:pos="6480"/>
        </w:tabs>
        <w:ind w:left="6480" w:hanging="360"/>
      </w:pPr>
      <w:rPr>
        <w:rFonts w:ascii="Courier New" w:hAnsi="Courier New" w:hint="default"/>
      </w:rPr>
    </w:lvl>
    <w:lvl w:ilvl="8" w:tplc="6D5CEA4A">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5120AC74">
      <w:start w:val="1"/>
      <w:numFmt w:val="bullet"/>
      <w:pStyle w:val="Bullet5"/>
      <w:lvlText w:val=""/>
      <w:lvlJc w:val="left"/>
      <w:pPr>
        <w:tabs>
          <w:tab w:val="num" w:pos="1795"/>
        </w:tabs>
        <w:ind w:left="1792" w:hanging="357"/>
      </w:pPr>
      <w:rPr>
        <w:rFonts w:ascii="Symbol" w:hAnsi="Symbol" w:hint="default"/>
      </w:rPr>
    </w:lvl>
    <w:lvl w:ilvl="1" w:tplc="7F9CFBA2">
      <w:start w:val="1"/>
      <w:numFmt w:val="bullet"/>
      <w:lvlText w:val="o"/>
      <w:lvlJc w:val="left"/>
      <w:pPr>
        <w:tabs>
          <w:tab w:val="num" w:pos="1440"/>
        </w:tabs>
        <w:ind w:left="1440" w:hanging="360"/>
      </w:pPr>
      <w:rPr>
        <w:rFonts w:ascii="Courier New" w:hAnsi="Courier New" w:hint="default"/>
      </w:rPr>
    </w:lvl>
    <w:lvl w:ilvl="2" w:tplc="04605866">
      <w:start w:val="1"/>
      <w:numFmt w:val="bullet"/>
      <w:lvlText w:val=""/>
      <w:lvlJc w:val="left"/>
      <w:pPr>
        <w:tabs>
          <w:tab w:val="num" w:pos="2160"/>
        </w:tabs>
        <w:ind w:left="2160" w:hanging="360"/>
      </w:pPr>
      <w:rPr>
        <w:rFonts w:ascii="Wingdings" w:hAnsi="Wingdings" w:hint="default"/>
      </w:rPr>
    </w:lvl>
    <w:lvl w:ilvl="3" w:tplc="D5420058">
      <w:start w:val="1"/>
      <w:numFmt w:val="bullet"/>
      <w:lvlText w:val=""/>
      <w:lvlJc w:val="left"/>
      <w:pPr>
        <w:tabs>
          <w:tab w:val="num" w:pos="2880"/>
        </w:tabs>
        <w:ind w:left="2880" w:hanging="360"/>
      </w:pPr>
      <w:rPr>
        <w:rFonts w:ascii="Symbol" w:hAnsi="Symbol" w:hint="default"/>
      </w:rPr>
    </w:lvl>
    <w:lvl w:ilvl="4" w:tplc="9D041012">
      <w:start w:val="1"/>
      <w:numFmt w:val="bullet"/>
      <w:lvlText w:val="o"/>
      <w:lvlJc w:val="left"/>
      <w:pPr>
        <w:tabs>
          <w:tab w:val="num" w:pos="3600"/>
        </w:tabs>
        <w:ind w:left="3600" w:hanging="360"/>
      </w:pPr>
      <w:rPr>
        <w:rFonts w:ascii="Courier New" w:hAnsi="Courier New" w:hint="default"/>
      </w:rPr>
    </w:lvl>
    <w:lvl w:ilvl="5" w:tplc="00AC0FD6">
      <w:start w:val="1"/>
      <w:numFmt w:val="bullet"/>
      <w:lvlText w:val=""/>
      <w:lvlJc w:val="left"/>
      <w:pPr>
        <w:tabs>
          <w:tab w:val="num" w:pos="4320"/>
        </w:tabs>
        <w:ind w:left="4320" w:hanging="360"/>
      </w:pPr>
      <w:rPr>
        <w:rFonts w:ascii="Wingdings" w:hAnsi="Wingdings" w:hint="default"/>
      </w:rPr>
    </w:lvl>
    <w:lvl w:ilvl="6" w:tplc="F49A548A">
      <w:start w:val="1"/>
      <w:numFmt w:val="bullet"/>
      <w:lvlText w:val=""/>
      <w:lvlJc w:val="left"/>
      <w:pPr>
        <w:tabs>
          <w:tab w:val="num" w:pos="5040"/>
        </w:tabs>
        <w:ind w:left="5040" w:hanging="360"/>
      </w:pPr>
      <w:rPr>
        <w:rFonts w:ascii="Symbol" w:hAnsi="Symbol" w:hint="default"/>
      </w:rPr>
    </w:lvl>
    <w:lvl w:ilvl="7" w:tplc="BB14A574">
      <w:start w:val="1"/>
      <w:numFmt w:val="bullet"/>
      <w:lvlText w:val="o"/>
      <w:lvlJc w:val="left"/>
      <w:pPr>
        <w:tabs>
          <w:tab w:val="num" w:pos="5760"/>
        </w:tabs>
        <w:ind w:left="5760" w:hanging="360"/>
      </w:pPr>
      <w:rPr>
        <w:rFonts w:ascii="Courier New" w:hAnsi="Courier New" w:hint="default"/>
      </w:rPr>
    </w:lvl>
    <w:lvl w:ilvl="8" w:tplc="E97CDF8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54D84FB6">
      <w:start w:val="1"/>
      <w:numFmt w:val="bullet"/>
      <w:pStyle w:val="Bullet6"/>
      <w:lvlText w:val=""/>
      <w:lvlJc w:val="left"/>
      <w:pPr>
        <w:tabs>
          <w:tab w:val="num" w:pos="2152"/>
        </w:tabs>
        <w:ind w:left="2149" w:hanging="357"/>
      </w:pPr>
      <w:rPr>
        <w:rFonts w:ascii="Symbol" w:hAnsi="Symbol" w:hint="default"/>
      </w:rPr>
    </w:lvl>
    <w:lvl w:ilvl="1" w:tplc="7F80F948">
      <w:start w:val="1"/>
      <w:numFmt w:val="bullet"/>
      <w:lvlText w:val="o"/>
      <w:lvlJc w:val="left"/>
      <w:pPr>
        <w:tabs>
          <w:tab w:val="num" w:pos="1440"/>
        </w:tabs>
        <w:ind w:left="1440" w:hanging="360"/>
      </w:pPr>
      <w:rPr>
        <w:rFonts w:ascii="Courier New" w:hAnsi="Courier New" w:hint="default"/>
      </w:rPr>
    </w:lvl>
    <w:lvl w:ilvl="2" w:tplc="C9D8F9A0">
      <w:start w:val="1"/>
      <w:numFmt w:val="bullet"/>
      <w:lvlText w:val=""/>
      <w:lvlJc w:val="left"/>
      <w:pPr>
        <w:tabs>
          <w:tab w:val="num" w:pos="2160"/>
        </w:tabs>
        <w:ind w:left="2160" w:hanging="360"/>
      </w:pPr>
      <w:rPr>
        <w:rFonts w:ascii="Wingdings" w:hAnsi="Wingdings" w:hint="default"/>
      </w:rPr>
    </w:lvl>
    <w:lvl w:ilvl="3" w:tplc="034E1AE8">
      <w:start w:val="1"/>
      <w:numFmt w:val="bullet"/>
      <w:lvlText w:val=""/>
      <w:lvlJc w:val="left"/>
      <w:pPr>
        <w:tabs>
          <w:tab w:val="num" w:pos="2880"/>
        </w:tabs>
        <w:ind w:left="2880" w:hanging="360"/>
      </w:pPr>
      <w:rPr>
        <w:rFonts w:ascii="Symbol" w:hAnsi="Symbol" w:hint="default"/>
      </w:rPr>
    </w:lvl>
    <w:lvl w:ilvl="4" w:tplc="771C0FFE">
      <w:start w:val="1"/>
      <w:numFmt w:val="bullet"/>
      <w:lvlText w:val="o"/>
      <w:lvlJc w:val="left"/>
      <w:pPr>
        <w:tabs>
          <w:tab w:val="num" w:pos="3600"/>
        </w:tabs>
        <w:ind w:left="3600" w:hanging="360"/>
      </w:pPr>
      <w:rPr>
        <w:rFonts w:ascii="Courier New" w:hAnsi="Courier New" w:hint="default"/>
      </w:rPr>
    </w:lvl>
    <w:lvl w:ilvl="5" w:tplc="E33873E4">
      <w:start w:val="1"/>
      <w:numFmt w:val="bullet"/>
      <w:lvlText w:val=""/>
      <w:lvlJc w:val="left"/>
      <w:pPr>
        <w:tabs>
          <w:tab w:val="num" w:pos="4320"/>
        </w:tabs>
        <w:ind w:left="4320" w:hanging="360"/>
      </w:pPr>
      <w:rPr>
        <w:rFonts w:ascii="Wingdings" w:hAnsi="Wingdings" w:hint="default"/>
      </w:rPr>
    </w:lvl>
    <w:lvl w:ilvl="6" w:tplc="8EE6B902">
      <w:start w:val="1"/>
      <w:numFmt w:val="bullet"/>
      <w:lvlText w:val=""/>
      <w:lvlJc w:val="left"/>
      <w:pPr>
        <w:tabs>
          <w:tab w:val="num" w:pos="5040"/>
        </w:tabs>
        <w:ind w:left="5040" w:hanging="360"/>
      </w:pPr>
      <w:rPr>
        <w:rFonts w:ascii="Symbol" w:hAnsi="Symbol" w:hint="default"/>
      </w:rPr>
    </w:lvl>
    <w:lvl w:ilvl="7" w:tplc="1FC0766C">
      <w:start w:val="1"/>
      <w:numFmt w:val="bullet"/>
      <w:lvlText w:val="o"/>
      <w:lvlJc w:val="left"/>
      <w:pPr>
        <w:tabs>
          <w:tab w:val="num" w:pos="5760"/>
        </w:tabs>
        <w:ind w:left="5760" w:hanging="360"/>
      </w:pPr>
      <w:rPr>
        <w:rFonts w:ascii="Courier New" w:hAnsi="Courier New" w:hint="default"/>
      </w:rPr>
    </w:lvl>
    <w:lvl w:ilvl="8" w:tplc="8A2427D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22A"/>
    <w:rsid w:val="00086C54"/>
    <w:rsid w:val="000905EF"/>
    <w:rsid w:val="00091565"/>
    <w:rsid w:val="000925E3"/>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D6285"/>
    <w:rsid w:val="001E030A"/>
    <w:rsid w:val="001F1FC7"/>
    <w:rsid w:val="001F30A7"/>
    <w:rsid w:val="002017BB"/>
    <w:rsid w:val="00202988"/>
    <w:rsid w:val="00207E25"/>
    <w:rsid w:val="0021272C"/>
    <w:rsid w:val="0021403E"/>
    <w:rsid w:val="002156C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1832"/>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2F1C35"/>
    <w:rsid w:val="0030039D"/>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7446"/>
    <w:rsid w:val="005244E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5C44"/>
    <w:rsid w:val="006264D7"/>
    <w:rsid w:val="00631B77"/>
    <w:rsid w:val="00632723"/>
    <w:rsid w:val="00634103"/>
    <w:rsid w:val="006353EB"/>
    <w:rsid w:val="006365B1"/>
    <w:rsid w:val="00637EBD"/>
    <w:rsid w:val="0064076D"/>
    <w:rsid w:val="00647094"/>
    <w:rsid w:val="006476E3"/>
    <w:rsid w:val="00654A80"/>
    <w:rsid w:val="006559B4"/>
    <w:rsid w:val="006567F2"/>
    <w:rsid w:val="006610C5"/>
    <w:rsid w:val="0066216B"/>
    <w:rsid w:val="006630AB"/>
    <w:rsid w:val="0066367C"/>
    <w:rsid w:val="00663B70"/>
    <w:rsid w:val="00663B86"/>
    <w:rsid w:val="00664C34"/>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30553"/>
    <w:rsid w:val="00832120"/>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62B9B"/>
    <w:rsid w:val="008633B0"/>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809"/>
    <w:rsid w:val="0097170A"/>
    <w:rsid w:val="0097212B"/>
    <w:rsid w:val="0097262B"/>
    <w:rsid w:val="0097287C"/>
    <w:rsid w:val="00972B8A"/>
    <w:rsid w:val="00972F3C"/>
    <w:rsid w:val="00980E7D"/>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1D2F"/>
    <w:rsid w:val="00BA2804"/>
    <w:rsid w:val="00BA2BBD"/>
    <w:rsid w:val="00BA3978"/>
    <w:rsid w:val="00BA521B"/>
    <w:rsid w:val="00BA52B9"/>
    <w:rsid w:val="00BA6083"/>
    <w:rsid w:val="00BA7EBE"/>
    <w:rsid w:val="00BB1442"/>
    <w:rsid w:val="00BB3DBE"/>
    <w:rsid w:val="00BB4853"/>
    <w:rsid w:val="00BB516C"/>
    <w:rsid w:val="00BB6E17"/>
    <w:rsid w:val="00BB7C79"/>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3DE2"/>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1201"/>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2019-03-27T20:10:50.2875174Z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110a5aaa-c3f2-406d-9a29-f3b1b149677c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