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B212A3" w:rsidRDefault="00BC1357" w:rsidP="00D61D35">
      <w:pPr>
        <w:pStyle w:val="HeadingEULA"/>
        <w:rPr>
          <w:sz w:val="19"/>
          <w:szCs w:val="19"/>
        </w:rPr>
      </w:pPr>
      <w:bookmarkStart w:id="0" w:name="_GoBack"/>
      <w:bookmarkEnd w:id="0"/>
      <w:r>
        <w:rPr>
          <w:rFonts w:eastAsia="Tahoma"/>
          <w:sz w:val="19"/>
          <w:szCs w:val="19"/>
          <w:lang w:val="tr-TR"/>
        </w:rPr>
        <w:t>MICROSOFT YAZILIMI LİSANS ŞARTLARI</w:t>
      </w:r>
    </w:p>
    <w:p w14:paraId="48C3FDAF" w14:textId="72356BAD" w:rsidR="00D61D35" w:rsidRPr="00B212A3" w:rsidRDefault="00BC1357" w:rsidP="00D61D35">
      <w:pPr>
        <w:pStyle w:val="HeadingSoftwareTitle"/>
        <w:rPr>
          <w:sz w:val="19"/>
          <w:szCs w:val="19"/>
        </w:rPr>
      </w:pPr>
      <w:r>
        <w:rPr>
          <w:rFonts w:eastAsia="Tahoma"/>
          <w:sz w:val="19"/>
          <w:szCs w:val="19"/>
          <w:lang w:val="tr-TR"/>
        </w:rPr>
        <w:t xml:space="preserve">MICROSOFT VISUAL STUDIO COMMUNITY 2019 </w:t>
      </w:r>
    </w:p>
    <w:p w14:paraId="21E802B6" w14:textId="77777777" w:rsidR="00D61D35" w:rsidRPr="00EE16B4" w:rsidRDefault="00BC1357" w:rsidP="00D61D35">
      <w:pPr>
        <w:rPr>
          <w:lang w:val="tr-TR"/>
        </w:rPr>
      </w:pPr>
      <w:r>
        <w:rPr>
          <w:rFonts w:eastAsia="Tahoma"/>
          <w:lang w:val="tr-TR"/>
        </w:rPr>
        <w:t>Bu lisans şartları, sizinle Microsoft Corporation (veya yaşadığınız yere göre Microsoft Corporation'ın bir bağlı kuruluşu) arasında yapılan sözleşmeyi oluşturur. Bu koşullar, yukarıda adı geçen yazılım için geçerlidir. Şartlar, yazılım için tüm Microsoft hizmetleri veya güncelleştirmeleri için, beraberlerinde farklı şartlar bulunmadığı sürece geçerlidir.</w:t>
      </w:r>
    </w:p>
    <w:p w14:paraId="5CBCB551" w14:textId="77777777" w:rsidR="00D61D35" w:rsidRPr="00EE16B4" w:rsidRDefault="00BC1357" w:rsidP="00D61D35">
      <w:pPr>
        <w:pStyle w:val="PreambleBorderAbove"/>
        <w:rPr>
          <w:lang w:val="tr-TR"/>
        </w:rPr>
      </w:pPr>
      <w:r>
        <w:rPr>
          <w:rFonts w:eastAsia="Tahoma"/>
          <w:lang w:val="tr-TR"/>
        </w:rPr>
        <w:t>BU LİSANS ŞARTLARINA UYDUĞUNUZ TAKDİRDE AŞAĞIDAKİ HAKLARA SAHİP OLURSUNUZ.</w:t>
      </w:r>
    </w:p>
    <w:p w14:paraId="4E84BCEA" w14:textId="77777777" w:rsidR="00D61D35" w:rsidRPr="007869AA" w:rsidRDefault="00BC1357" w:rsidP="00D61D35">
      <w:pPr>
        <w:pStyle w:val="Heading1"/>
        <w:ind w:left="360" w:hanging="360"/>
      </w:pPr>
      <w:r>
        <w:rPr>
          <w:rFonts w:eastAsia="Tahoma"/>
          <w:lang w:val="tr-TR"/>
        </w:rPr>
        <w:t>YÜKLEME VE KULLANIM HAKLARI.</w:t>
      </w:r>
    </w:p>
    <w:p w14:paraId="55504AB4" w14:textId="32602578" w:rsidR="00D61D35" w:rsidRPr="007869AA" w:rsidRDefault="00BC1357" w:rsidP="000B3668">
      <w:pPr>
        <w:pStyle w:val="Heading2"/>
        <w:numPr>
          <w:ilvl w:val="1"/>
          <w:numId w:val="8"/>
        </w:numPr>
        <w:ind w:left="720" w:hanging="360"/>
      </w:pPr>
      <w:r>
        <w:rPr>
          <w:rFonts w:eastAsia="Tahoma"/>
          <w:lang w:val="tr-TR"/>
        </w:rPr>
        <w:t>Bireysel Lisans.</w:t>
      </w:r>
      <w:r>
        <w:rPr>
          <w:rFonts w:eastAsia="Tahoma"/>
          <w:b w:val="0"/>
          <w:bCs w:val="0"/>
          <w:lang w:val="tr-TR"/>
        </w:rPr>
        <w:t>Kendi uygulamalarınız üzerinde satış ya da başka amaçlarla çalışan bir kişiyseniz, bu uygulamaları geliştirmek ya da test etmek için yazılımı kullanabilirsiniz.</w:t>
      </w:r>
    </w:p>
    <w:p w14:paraId="044EB23D" w14:textId="77777777" w:rsidR="00D61D35" w:rsidRPr="007869AA" w:rsidRDefault="00BC1357" w:rsidP="000B3668">
      <w:pPr>
        <w:pStyle w:val="Heading2"/>
        <w:numPr>
          <w:ilvl w:val="1"/>
          <w:numId w:val="8"/>
        </w:numPr>
        <w:ind w:left="720" w:hanging="360"/>
      </w:pPr>
      <w:r>
        <w:rPr>
          <w:rFonts w:eastAsia="Tahoma"/>
          <w:lang w:val="tr-TR"/>
        </w:rPr>
        <w:t>Kurumsal Lisans.</w:t>
      </w:r>
      <w:r>
        <w:rPr>
          <w:rFonts w:eastAsia="Tahoma"/>
          <w:b w:val="0"/>
          <w:bCs w:val="0"/>
          <w:lang w:val="tr-TR"/>
        </w:rPr>
        <w:t>Eğer bir kuruluşsanız, kullanıcılarınız yazılımı aşağıdaki şekilde kullanabilir:</w:t>
      </w:r>
    </w:p>
    <w:p w14:paraId="5A186F47" w14:textId="77777777" w:rsidR="00D61D35" w:rsidRDefault="00BC1357" w:rsidP="000B3668">
      <w:pPr>
        <w:pStyle w:val="ListParagraph"/>
        <w:numPr>
          <w:ilvl w:val="0"/>
          <w:numId w:val="9"/>
        </w:numPr>
        <w:spacing w:before="0" w:after="0"/>
        <w:ind w:left="1080"/>
      </w:pPr>
      <w:r>
        <w:rPr>
          <w:rFonts w:eastAsia="Tahoma"/>
          <w:lang w:val="tr-TR"/>
        </w:rPr>
        <w:t>İstediğiniz sayıda kullanıcınız, Açık Kaynak Girişimi (OSI) onaylı açık kaynak yazılım lisansları kapsamında çıkarılan uygulamaları geliştirmek ve test etmek üzere yazılımı kullanabilir.</w:t>
      </w:r>
    </w:p>
    <w:p w14:paraId="7671DB92" w14:textId="77777777" w:rsidR="0094679A" w:rsidRDefault="00BC1357" w:rsidP="000B3668">
      <w:pPr>
        <w:pStyle w:val="ListParagraph"/>
        <w:numPr>
          <w:ilvl w:val="0"/>
          <w:numId w:val="9"/>
        </w:numPr>
        <w:spacing w:before="0" w:after="0"/>
        <w:ind w:left="1080"/>
      </w:pPr>
      <w:r>
        <w:rPr>
          <w:rFonts w:eastAsia="Tahoma"/>
          <w:lang w:val="tr-TR"/>
        </w:rPr>
        <w:t xml:space="preserve">İstediğiniz sayıda kullanıcınız, Visual Studio uzantılarını geliştirmek ve test etmek üzere yazılımı kullanabilir. </w:t>
      </w:r>
    </w:p>
    <w:p w14:paraId="090155A5" w14:textId="12F64F2B" w:rsidR="00F76785" w:rsidRDefault="00BC1357" w:rsidP="000B3668">
      <w:pPr>
        <w:pStyle w:val="ListParagraph"/>
        <w:numPr>
          <w:ilvl w:val="0"/>
          <w:numId w:val="9"/>
        </w:numPr>
        <w:spacing w:before="0" w:after="0"/>
        <w:ind w:left="1080"/>
      </w:pPr>
      <w:r>
        <w:rPr>
          <w:rFonts w:eastAsia="Tahoma"/>
          <w:lang w:val="tr-TR"/>
        </w:rPr>
        <w:t>İstenilen sayıda kullanıcınız yazılımı, Windows işletim sistemine yönelik cihaz sürücüleri geliştirmek ve test etmek için kullanabilir.</w:t>
      </w:r>
    </w:p>
    <w:p w14:paraId="4A09A595" w14:textId="3E79ECF2" w:rsidR="00D30757" w:rsidRPr="007869AA" w:rsidRDefault="00BC1357" w:rsidP="000B3668">
      <w:pPr>
        <w:pStyle w:val="ListParagraph"/>
        <w:numPr>
          <w:ilvl w:val="0"/>
          <w:numId w:val="9"/>
        </w:numPr>
        <w:spacing w:before="0" w:after="0"/>
        <w:ind w:left="1080"/>
      </w:pPr>
      <w:r>
        <w:rPr>
          <w:rFonts w:eastAsia="Tahoma"/>
          <w:lang w:val="tr-TR"/>
        </w:rPr>
        <w:t xml:space="preserve">Herhangi bir sayıda kullanıcınız, yazılımı yalnızca Microsoft SQL Server vMicrosoft SQL Server veritabanı projeleri veya Analysis Services, Raporlama Servisleri, Power BI Rapor Sunucusu veya Tümleştirme Hizmetleri projeleri geliştirmek için SQL Server Veri Araçlarını veya "Microsoft Analysis Services Projeleri", "Microsoft Reporting Services Projeleri" uzantılarını kullanarak Microsoft SQL Sunucusu geliştirmek için kullanabilir. </w:t>
      </w:r>
    </w:p>
    <w:p w14:paraId="133F5A1C" w14:textId="77777777" w:rsidR="00D61D35" w:rsidRPr="007869AA" w:rsidRDefault="00BC1357" w:rsidP="000B3668">
      <w:pPr>
        <w:pStyle w:val="ListParagraph"/>
        <w:numPr>
          <w:ilvl w:val="0"/>
          <w:numId w:val="9"/>
        </w:numPr>
        <w:spacing w:before="0" w:after="0"/>
        <w:ind w:left="1080"/>
      </w:pPr>
      <w:r>
        <w:rPr>
          <w:rFonts w:eastAsia="Tahoma"/>
          <w:lang w:val="tr-TR"/>
        </w:rPr>
        <w:t>İstediğiniz sayıda kullanıcınız, çevrimiçi veya yüz yüze sınıf eğitiminin bir parçası olarak veya akademik araştırma yürütme amaçlarıyla uygulamalarınızı geliştirmek ve test etmek üzere yazılımı kullanabilir.</w:t>
      </w:r>
    </w:p>
    <w:p w14:paraId="00709C5F" w14:textId="77777777" w:rsidR="00D61D35" w:rsidRDefault="00BC1357" w:rsidP="000B3668">
      <w:pPr>
        <w:pStyle w:val="ListParagraph"/>
        <w:numPr>
          <w:ilvl w:val="0"/>
          <w:numId w:val="9"/>
        </w:numPr>
        <w:spacing w:before="0" w:after="0"/>
        <w:ind w:left="1080"/>
      </w:pPr>
      <w:r>
        <w:rPr>
          <w:rFonts w:eastAsia="Tahoma"/>
          <w:lang w:val="tr-TR"/>
        </w:rPr>
        <w:t>Yukarıdakilerden hiçbiri geçerli değilse ve bir kuruluş (aşağıda tanımlanan) değilseniz, 5 kişiye kadar bireysel kullanıcılarınız uygulamalarınızı eş zamanlı olarak geliştirmek ve test etmek üzere yazılımını kullanabilir.</w:t>
      </w:r>
    </w:p>
    <w:p w14:paraId="7B2BA4D3" w14:textId="77777777" w:rsidR="005A06CA" w:rsidRPr="007869AA" w:rsidRDefault="005A06CA" w:rsidP="005A06CA">
      <w:pPr>
        <w:pStyle w:val="ListParagraph"/>
        <w:spacing w:before="0" w:after="0"/>
        <w:ind w:left="1080"/>
      </w:pPr>
    </w:p>
    <w:p w14:paraId="545F3B52" w14:textId="3CCA8C53" w:rsidR="005A06CA" w:rsidRDefault="00BC1357" w:rsidP="000B3668">
      <w:pPr>
        <w:pStyle w:val="ListParagraph"/>
        <w:numPr>
          <w:ilvl w:val="0"/>
          <w:numId w:val="9"/>
        </w:numPr>
        <w:spacing w:before="0" w:after="0"/>
        <w:ind w:left="1080"/>
      </w:pPr>
      <w:r>
        <w:rPr>
          <w:rFonts w:eastAsia="Tahoma"/>
          <w:lang w:val="tr-TR"/>
        </w:rPr>
        <w:t xml:space="preserve">Bir kuruluş iseniz, çalışanlarınız ve yüklenicileriniz; yukarıda izin verilen (i) açık kaynak; (ii) Visual Studio uzantıları; (iii) Windows işletim sistemi için cihaz sürücüleri ve (iv) SQL Sunucu geliştirme ve (v) eğitim amaçları dışında yazılımı, uygulamalarınızı geliştirmek veya test etmek üzere </w:t>
      </w:r>
      <w:r>
        <w:rPr>
          <w:rFonts w:eastAsia="Tahoma"/>
          <w:u w:val="single"/>
          <w:lang w:val="tr-TR"/>
        </w:rPr>
        <w:t>kullanamaz</w:t>
      </w:r>
      <w:r>
        <w:rPr>
          <w:rFonts w:eastAsia="Tahoma"/>
          <w:lang w:val="tr-TR"/>
        </w:rPr>
        <w:t xml:space="preserve">. </w:t>
      </w:r>
    </w:p>
    <w:p w14:paraId="6473AA27" w14:textId="77777777" w:rsidR="005A06CA" w:rsidRDefault="005A06CA" w:rsidP="005A06CA">
      <w:pPr>
        <w:pStyle w:val="ListParagraph"/>
        <w:spacing w:before="0" w:after="0"/>
        <w:ind w:left="1080"/>
      </w:pPr>
    </w:p>
    <w:p w14:paraId="4453938D" w14:textId="77777777" w:rsidR="00D61D35" w:rsidRPr="007869AA" w:rsidRDefault="00BC1357" w:rsidP="005A06CA">
      <w:pPr>
        <w:pStyle w:val="ListParagraph"/>
        <w:spacing w:before="0" w:after="0"/>
        <w:ind w:left="1440"/>
      </w:pPr>
      <w:r>
        <w:rPr>
          <w:rFonts w:eastAsia="Tahoma"/>
          <w:b/>
          <w:bCs/>
          <w:lang w:val="tr-TR"/>
        </w:rPr>
        <w:t>"Kuruluş"</w:t>
      </w:r>
      <w:r>
        <w:rPr>
          <w:rFonts w:eastAsia="Tahoma"/>
          <w:lang w:val="tr-TR"/>
        </w:rPr>
        <w:t xml:space="preserve">, toplamda (a) 250'den fazla bilgisayar ya da kullanıcı </w:t>
      </w:r>
      <w:r>
        <w:rPr>
          <w:rFonts w:eastAsia="Tahoma"/>
          <w:u w:val="single"/>
          <w:lang w:val="tr-TR"/>
        </w:rPr>
        <w:t>veya</w:t>
      </w:r>
      <w:r>
        <w:rPr>
          <w:rFonts w:eastAsia="Tahoma"/>
          <w:lang w:val="tr-TR"/>
        </w:rPr>
        <w:t xml:space="preserve"> (b) bir milyon ABD Doları (veya diğer para birimlerinde eşdeğeri) yıllık gelire sahip bir organizasyon ile onun bağlı kuruluşları anlamına gelir ve "bağlı kuruluşlar", bir organizasyonu kontrol eden (çoğunluk hissesi yoluyla), organizasyon tarafından kontrol edilen veya ortak kontrol altında olan tüzel kişiler anlamına gelir.</w:t>
      </w:r>
    </w:p>
    <w:p w14:paraId="55506BF4" w14:textId="37FD6D2D" w:rsidR="009340B7" w:rsidRDefault="00BC1357" w:rsidP="000B3668">
      <w:pPr>
        <w:pStyle w:val="Heading2"/>
        <w:numPr>
          <w:ilvl w:val="1"/>
          <w:numId w:val="8"/>
        </w:numPr>
        <w:ind w:left="720" w:hanging="360"/>
      </w:pPr>
      <w:r>
        <w:rPr>
          <w:rFonts w:eastAsia="Tahoma"/>
          <w:lang w:val="tr-TR"/>
        </w:rPr>
        <w:t>Workloads.</w:t>
      </w:r>
      <w:r>
        <w:rPr>
          <w:rFonts w:eastAsia="Tahoma"/>
          <w:b w:val="0"/>
          <w:bCs w:val="0"/>
          <w:lang w:val="tr-TR"/>
        </w:rPr>
        <w:t xml:space="preserve">  Bu lisans şartları, bir workload veya workload bileşeni farklı lisans koşulları ve destek politikaları ile sunulmadıkça yazılım içerisinde kullanımınıza sunulan workload’ları kullanımınız için geçerlidir.</w:t>
      </w:r>
    </w:p>
    <w:p w14:paraId="0095F502" w14:textId="77777777" w:rsidR="00D61D35" w:rsidRPr="00EB73C5" w:rsidRDefault="00BC1357" w:rsidP="000B3668">
      <w:pPr>
        <w:pStyle w:val="Heading2"/>
        <w:numPr>
          <w:ilvl w:val="1"/>
          <w:numId w:val="8"/>
        </w:numPr>
        <w:ind w:left="720" w:hanging="360"/>
      </w:pPr>
      <w:r>
        <w:rPr>
          <w:rFonts w:eastAsia="Tahoma"/>
          <w:lang w:val="tr-TR"/>
        </w:rPr>
        <w:t xml:space="preserve">Yedek Kopya. </w:t>
      </w:r>
      <w:r>
        <w:rPr>
          <w:rFonts w:eastAsia="Tahoma"/>
          <w:b w:val="0"/>
          <w:bCs w:val="0"/>
          <w:lang w:val="tr-TR"/>
        </w:rPr>
        <w:t>Yazılım yeniden yüklenmesi amacıyla tek bir yedek kopyasını oluşturabilirsiniz.</w:t>
      </w:r>
    </w:p>
    <w:p w14:paraId="13E500AE" w14:textId="6683D5EE" w:rsidR="008348D7" w:rsidRPr="00EE16B4" w:rsidRDefault="00BC1357" w:rsidP="000B3668">
      <w:pPr>
        <w:pStyle w:val="Heading2"/>
        <w:numPr>
          <w:ilvl w:val="1"/>
          <w:numId w:val="8"/>
        </w:numPr>
        <w:ind w:left="720" w:hanging="360"/>
        <w:rPr>
          <w:b w:val="0"/>
          <w:lang w:val="tr-TR"/>
        </w:rPr>
      </w:pPr>
      <w:r>
        <w:rPr>
          <w:rFonts w:eastAsia="Tahoma"/>
          <w:lang w:val="tr-TR"/>
        </w:rPr>
        <w:t xml:space="preserve">Yazılımdaki Çevrimiçi Hizmetler. </w:t>
      </w:r>
      <w:r>
        <w:rPr>
          <w:rFonts w:eastAsia="Tahoma"/>
          <w:b w:val="0"/>
          <w:bCs w:val="0"/>
          <w:lang w:val="tr-TR"/>
        </w:rPr>
        <w:t>Yazılımın bazı özellikleri, yazılım veya uzantılarla ilgili güncellemeler hakkında bilgi sağlamak veya içerik almanıza, başkalarıyla işbirliği yapmanıza veya geliştirme deneyiminizi ek olarak desteklemek için çevrimiçi hizmetlerin kullanımına olanak sağlar. Bu sözleşme boyunca kullanılan "yazılım" terimi, bu çevrimiçi hizmet özelliklerini içerir.</w:t>
      </w:r>
    </w:p>
    <w:p w14:paraId="5357DA78" w14:textId="77777777" w:rsidR="00D76ECA" w:rsidRPr="00EE16B4" w:rsidRDefault="00BC1357" w:rsidP="00D76ECA">
      <w:pPr>
        <w:pStyle w:val="Heading2"/>
        <w:numPr>
          <w:ilvl w:val="1"/>
          <w:numId w:val="8"/>
        </w:numPr>
        <w:ind w:left="720" w:hanging="360"/>
        <w:rPr>
          <w:lang w:val="tr-TR"/>
        </w:rPr>
      </w:pPr>
      <w:r>
        <w:rPr>
          <w:rFonts w:eastAsia="Tahoma"/>
          <w:lang w:val="tr-TR"/>
        </w:rPr>
        <w:t xml:space="preserve">Tanıtım Kullanımı. </w:t>
      </w:r>
      <w:r>
        <w:rPr>
          <w:rFonts w:eastAsia="Tahoma"/>
          <w:b w:val="0"/>
          <w:bCs w:val="0"/>
          <w:lang w:val="tr-TR"/>
        </w:rPr>
        <w:t>Yukarıda izin verilen kullanımlara, yazılımın, uygulamalarınızı tanıtmak için kullanımı da dâhildir.</w:t>
      </w:r>
    </w:p>
    <w:p w14:paraId="7B15EC4E" w14:textId="77777777" w:rsidR="00D61D35" w:rsidRPr="00BA52B9" w:rsidRDefault="00BC1357" w:rsidP="00D61D35">
      <w:pPr>
        <w:pStyle w:val="Heading1"/>
        <w:ind w:left="360" w:hanging="360"/>
      </w:pPr>
      <w:r>
        <w:rPr>
          <w:rFonts w:eastAsia="Tahoma"/>
          <w:lang w:val="tr-TR"/>
        </w:rPr>
        <w:t>ÖZEL BİLEŞENLER İÇİN ŞARTLAR.</w:t>
      </w:r>
    </w:p>
    <w:p w14:paraId="131760DA" w14:textId="2433A742" w:rsidR="00D61D35" w:rsidRPr="00EE16B4" w:rsidRDefault="00BC1357" w:rsidP="00D61D35">
      <w:pPr>
        <w:pStyle w:val="Heading2"/>
        <w:ind w:left="720" w:hanging="360"/>
        <w:rPr>
          <w:lang w:val="tr-TR"/>
        </w:rPr>
      </w:pPr>
      <w:r>
        <w:rPr>
          <w:rFonts w:eastAsia="Tahoma"/>
          <w:lang w:val="tr-TR"/>
        </w:rPr>
        <w:t xml:space="preserve">Yardımcı Programlar. </w:t>
      </w:r>
      <w:r>
        <w:rPr>
          <w:rFonts w:eastAsia="Tahoma"/>
          <w:b w:val="0"/>
          <w:bCs w:val="0"/>
          <w:lang w:val="tr-TR"/>
        </w:rPr>
        <w:t xml:space="preserve">Yazılım, Yardımcı Programlar Listesinde öğeler içerir </w:t>
      </w:r>
      <w:hyperlink r:id="rId7" w:history="1">
        <w:r>
          <w:rPr>
            <w:rFonts w:eastAsia="Tahoma"/>
            <w:b w:val="0"/>
            <w:bCs w:val="0"/>
            <w:color w:val="0000FF"/>
            <w:u w:val="single"/>
            <w:lang w:val="tr-TR"/>
          </w:rPr>
          <w:t>https://aka.ms/vs/16/utilities</w:t>
        </w:r>
      </w:hyperlink>
      <w:r>
        <w:rPr>
          <w:rFonts w:eastAsia="Tahoma"/>
          <w:b w:val="0"/>
          <w:bCs w:val="0"/>
          <w:lang w:val="tr-TR"/>
        </w:rPr>
        <w:t xml:space="preserve">. Bu öğeleri, yazılımla geliştirdiğiniz uygulamalarınızı ve veritabanlarınızı dağıtmak ve bunlarda hata ayıklamak amacıyla cihazlarınıza kopyalayabilir ve yükleyebilirsiniz. Yardımcı Programlar geçici kullanım için tasarlanmıştır. Microsoft, Yardımcı Programlar için yazılımın geri kalanından ayrı olarak yamalama veya güncelleştirme </w:t>
      </w:r>
      <w:r>
        <w:rPr>
          <w:rFonts w:eastAsia="Tahoma"/>
          <w:b w:val="0"/>
          <w:bCs w:val="0"/>
          <w:lang w:val="tr-TR"/>
        </w:rPr>
        <w:lastRenderedPageBreak/>
        <w:t>yapamayabilir. Bazı Yardımcı Programlar kendi doğaları gereği, başkalarının Yardımcı Programların yüklü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cihazların veya cihazlardaki uygulamalar veya veritabanlarının herhangi bir üçüncü şahıs tarafından kullanımı veya erişiminden sorumlu değildir.</w:t>
      </w:r>
    </w:p>
    <w:p w14:paraId="02EB500F" w14:textId="7411401D" w:rsidR="00D61D35" w:rsidRPr="00EE16B4" w:rsidRDefault="00BC1357" w:rsidP="00D61D35">
      <w:pPr>
        <w:pStyle w:val="Heading2"/>
        <w:widowControl w:val="0"/>
        <w:ind w:left="720" w:hanging="360"/>
        <w:rPr>
          <w:lang w:val="tr-TR"/>
        </w:rPr>
      </w:pPr>
      <w:r>
        <w:rPr>
          <w:rFonts w:eastAsia="Tahoma"/>
          <w:lang w:val="tr-TR"/>
        </w:rPr>
        <w:t xml:space="preserve">Derleme Cihazları ve Visual Studio Derleme Araçları.  </w:t>
      </w:r>
      <w:r>
        <w:rPr>
          <w:rFonts w:eastAsia="Tahoma"/>
          <w:b w:val="0"/>
          <w:bCs w:val="0"/>
          <w:lang w:val="tr-TR"/>
        </w:rPr>
        <w:t xml:space="preserve">Yazılımdan veya Visual Studio Derleme Araçlarından dosyaları sahip olduğunuz, sizin için Microsoft Azure'de barındırılan veya yalnızca sizin kullanımınıza özel yerinde veya uzaktaki makineler gibi fiziksel cihazlar ve sanal makineler veya bu makinelerdeki kapsayıcılar (birlikte "Derleme Cihazları") dahil derleme cihazlarınıza kopyalayıp yükleyebilirsiniz.  Siz ve kuruluşunuzdaki diğer kişiler, Derleme Cihazlarınızda bulunan bu dosyaları, yalnızca yazılım kullanılarak geliştirilen uygulamalarınızı derlemek, doğrulamak veya derleme işleminin bir parçası olarak bu uygulamaların kalite ya da performans testleri gerçekleştirmek için kullanabilirsiniz.  </w:t>
      </w:r>
    </w:p>
    <w:p w14:paraId="186B0028" w14:textId="6A413664" w:rsidR="00D61D35" w:rsidRPr="00EE16B4" w:rsidRDefault="00BC1357" w:rsidP="00D61D35">
      <w:pPr>
        <w:pStyle w:val="Heading2"/>
        <w:ind w:left="720" w:hanging="360"/>
        <w:rPr>
          <w:lang w:val="tr-TR"/>
        </w:rPr>
      </w:pPr>
      <w:r>
        <w:rPr>
          <w:rFonts w:eastAsia="Tahoma"/>
          <w:lang w:val="tr-TR"/>
        </w:rPr>
        <w:t xml:space="preserve">Yazı Tipleri. </w:t>
      </w:r>
      <w:r>
        <w:rPr>
          <w:rFonts w:eastAsia="Tahoma"/>
          <w:b w:val="0"/>
          <w:bCs w:val="0"/>
          <w:lang w:val="tr-TR"/>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14:paraId="5BF1B48E" w14:textId="77777777" w:rsidR="00D61D35" w:rsidRPr="00456CB1" w:rsidRDefault="00BC1357" w:rsidP="00D61D35">
      <w:pPr>
        <w:pStyle w:val="Heading2"/>
        <w:ind w:left="720" w:hanging="360"/>
        <w:rPr>
          <w:sz w:val="20"/>
          <w:szCs w:val="20"/>
        </w:rPr>
      </w:pPr>
      <w:r>
        <w:rPr>
          <w:rFonts w:eastAsia="Tahoma"/>
          <w:sz w:val="20"/>
          <w:szCs w:val="20"/>
          <w:lang w:val="tr-TR"/>
        </w:rPr>
        <w:t>Diğer Bileşenlere İlişkin Lisanslar.</w:t>
      </w:r>
    </w:p>
    <w:p w14:paraId="62A89B01" w14:textId="77777777" w:rsidR="00D61D35" w:rsidRPr="00EE16B4" w:rsidRDefault="00BC1357" w:rsidP="00D61D35">
      <w:pPr>
        <w:pStyle w:val="Bullet4"/>
        <w:rPr>
          <w:lang w:val="tr-TR"/>
        </w:rPr>
      </w:pPr>
      <w:r>
        <w:rPr>
          <w:rFonts w:eastAsia="Tahoma"/>
          <w:b/>
          <w:bCs/>
          <w:lang w:val="tr-TR"/>
        </w:rPr>
        <w:t xml:space="preserve">Microsoft Platformları. </w:t>
      </w:r>
      <w:r>
        <w:rPr>
          <w:rFonts w:eastAsia="Tahoma"/>
          <w:lang w:val="tr-TR"/>
        </w:rPr>
        <w:t xml:space="preserve">Yazılım; Microsoft Windows, Microsoft Windows Server, Microsoft SQL Server, Microsoft Exchange, Microsoft Office ve </w:t>
      </w:r>
      <w:r>
        <w:rPr>
          <w:rFonts w:eastAsia="Tahoma"/>
          <w:sz w:val="20"/>
          <w:szCs w:val="20"/>
          <w:lang w:val="tr-TR"/>
        </w:rPr>
        <w:t>Microsoft</w:t>
      </w:r>
      <w:r>
        <w:rPr>
          <w:rFonts w:eastAsia="Tahoma"/>
          <w:lang w:val="tr-TR"/>
        </w:rPr>
        <w:t xml:space="preserve"> SharePoint'ten bileşenler içerebilir. Bu bileşenler, yazılımın beraberinde bulunan Microsoft "Licenses" (Lisanslar) klasöründe açıklandığı gibi, ayrı sözleşmelere ve kendi ürün destek ilkelerine tabidir. Söz konusu bileşenlere ilişkin lisans şartları, ilişkili yükleme dizinine de eklenmişse bu bileşenler söz konusu lisans şartlarına tabi olur. </w:t>
      </w:r>
    </w:p>
    <w:p w14:paraId="7330E8F7" w14:textId="6AB2F961" w:rsidR="00D61D35" w:rsidRPr="00EE16B4" w:rsidRDefault="00BC1357" w:rsidP="00D61D35">
      <w:pPr>
        <w:pStyle w:val="Bullet4"/>
        <w:rPr>
          <w:lang w:val="tr-TR"/>
        </w:rPr>
      </w:pPr>
      <w:r>
        <w:rPr>
          <w:rFonts w:eastAsia="Tahoma"/>
          <w:b/>
          <w:bCs/>
          <w:lang w:val="tr-TR"/>
        </w:rPr>
        <w:t xml:space="preserve">Üçüncü Taraf Bileşenleri. </w:t>
      </w:r>
      <w:r>
        <w:rPr>
          <w:rFonts w:eastAsia="Tahoma"/>
          <w:lang w:val="tr-TR"/>
        </w:rPr>
        <w:t xml:space="preserve">Yazılım, beraberinde bulunan ThirdPartyNotices dosyalarında açıklanmış olabileceği gibi, ayrı yasal bildirimlere sahip veya başka sözleşmelerce yönetilen üçüncü taraf bileşenleri içerebilir. </w:t>
      </w:r>
    </w:p>
    <w:p w14:paraId="36663934" w14:textId="61576AA6" w:rsidR="00D61D35" w:rsidRPr="00EE16B4" w:rsidRDefault="00BC1357" w:rsidP="00D61D35">
      <w:pPr>
        <w:pStyle w:val="Heading2"/>
        <w:ind w:left="720" w:hanging="360"/>
        <w:rPr>
          <w:lang w:val="tr-TR"/>
        </w:rPr>
      </w:pPr>
      <w:r>
        <w:rPr>
          <w:rFonts w:eastAsia="Tahoma"/>
          <w:lang w:val="tr-TR"/>
        </w:rPr>
        <w:t>Paket Yöneticileri</w:t>
      </w:r>
      <w:r>
        <w:rPr>
          <w:rFonts w:eastAsia="Tahoma"/>
          <w:b w:val="0"/>
          <w:bCs w:val="0"/>
          <w:lang w:val="tr-TR"/>
        </w:rPr>
        <w:t>. Yazılım, uygulamalarınızla birlikte kullanmak üzere size, Microsoft ve üçüncü kişi yazılım paketlerini indirme seçeneği sağlayan NuGet gibi paket yöneticileri içerir. Bu paketler bu lisans şartlarına değil, kendi lisanslarına tabidir. Microsoft herhangi bir üçüncü taraf paketini dağıtmaz, lisanslamaz veya bunlar için garanti vermez.</w:t>
      </w:r>
    </w:p>
    <w:p w14:paraId="0AAD41E8" w14:textId="403A29AE" w:rsidR="00D61D35" w:rsidRPr="00EE16B4" w:rsidRDefault="00BC1357" w:rsidP="00D61D35">
      <w:pPr>
        <w:pStyle w:val="Heading1"/>
        <w:ind w:left="360" w:hanging="360"/>
        <w:rPr>
          <w:lang w:val="tr-TR"/>
        </w:rPr>
      </w:pPr>
      <w:r>
        <w:rPr>
          <w:rFonts w:eastAsia="Tahoma"/>
          <w:lang w:val="tr-TR"/>
        </w:rPr>
        <w:t>DAĞITILABİLİR KOD.</w:t>
      </w:r>
      <w:r>
        <w:rPr>
          <w:rFonts w:eastAsia="Tahoma"/>
          <w:b w:val="0"/>
          <w:bCs w:val="0"/>
          <w:lang w:val="tr-TR"/>
        </w:rPr>
        <w:t xml:space="preserve"> Yazılım, bu Bölümde açıklandığı şekilde geliştirdiğiniz uygulamalarda dağıtımını yapabileceğiniz kodu içerir. Bu 3. Bölümün amaçları bakımından "dağıtım" terimi, üçüncü tarafların internet üzerinden erişmeleri için uygulamalarınızın dağıtımı anlamına da gelir.</w:t>
      </w:r>
    </w:p>
    <w:p w14:paraId="33C615BB" w14:textId="5A75D698" w:rsidR="00D61D35" w:rsidRPr="00EE16B4" w:rsidRDefault="00BC1357" w:rsidP="00D61D35">
      <w:pPr>
        <w:pStyle w:val="Heading2"/>
        <w:ind w:left="720" w:hanging="360"/>
        <w:rPr>
          <w:lang w:val="tr-TR"/>
        </w:rPr>
      </w:pPr>
      <w:r>
        <w:rPr>
          <w:rFonts w:eastAsia="Tahoma"/>
          <w:lang w:val="tr-TR"/>
        </w:rPr>
        <w:t>Kullanım ve Dağıtım Hakkı.</w:t>
      </w:r>
      <w:r>
        <w:rPr>
          <w:rFonts w:eastAsia="Tahoma"/>
          <w:b w:val="0"/>
          <w:bCs w:val="0"/>
          <w:lang w:val="tr-TR"/>
        </w:rPr>
        <w:t xml:space="preserve"> Aşağıda listesi verilen kod ve metin dosyaları "Dağıtılabilir Kod"dur.</w:t>
      </w:r>
    </w:p>
    <w:p w14:paraId="513C8677" w14:textId="0C4FFD2C" w:rsidR="00D61D35" w:rsidRPr="00EE16B4" w:rsidRDefault="00BC1357" w:rsidP="00D61D35">
      <w:pPr>
        <w:pStyle w:val="Bullet4"/>
        <w:rPr>
          <w:lang w:val="tr-TR"/>
        </w:rPr>
      </w:pPr>
      <w:r>
        <w:rPr>
          <w:rFonts w:eastAsia="Tahoma"/>
          <w:b/>
          <w:bCs/>
          <w:lang w:val="tr-TR"/>
        </w:rPr>
        <w:t>Dağıtılabilir Liste</w:t>
      </w:r>
      <w:r>
        <w:rPr>
          <w:rFonts w:eastAsia="Tahoma"/>
          <w:lang w:val="tr-TR"/>
        </w:rPr>
        <w:t>. Şu adreste bulunan Dağıtılabilir Listesinde verilen kodun nesne kodu biçimini kopyalayabilir ve dağıtabilirsiniz:</w:t>
      </w:r>
      <w:r>
        <w:rPr>
          <w:rFonts w:eastAsia="Tahoma" w:cs="Times New Roman"/>
          <w:color w:val="0000FF"/>
          <w:u w:val="single"/>
          <w:lang w:val="tr-TR"/>
        </w:rPr>
        <w:t xml:space="preserve"> https://aka.ms/vs/16/redistribution.</w:t>
      </w:r>
      <w:hyperlink w:history="1"/>
      <w:r>
        <w:rPr>
          <w:rFonts w:eastAsia="Tahoma"/>
          <w:lang w:val="tr-TR"/>
        </w:rPr>
        <w:t xml:space="preserve"> </w:t>
      </w:r>
    </w:p>
    <w:p w14:paraId="19FF73C7" w14:textId="1EF73D9B" w:rsidR="00D61D35" w:rsidRPr="00EE16B4" w:rsidRDefault="00BC1357" w:rsidP="00D61D35">
      <w:pPr>
        <w:pStyle w:val="Bullet4"/>
        <w:rPr>
          <w:lang w:val="tr-TR"/>
        </w:rPr>
      </w:pPr>
      <w:r>
        <w:rPr>
          <w:rFonts w:eastAsia="Tahoma"/>
          <w:b/>
          <w:bCs/>
          <w:lang w:val="tr-TR"/>
        </w:rPr>
        <w:t>Örnek Kod, Şablonlar ve Stiller</w:t>
      </w:r>
      <w:r>
        <w:rPr>
          <w:rFonts w:eastAsia="Tahoma"/>
          <w:lang w:val="tr-TR"/>
        </w:rPr>
        <w:t>. “Örnek", "şablon" ve "basit stiller" veya "taslak stilleri" olarak belirtilen kodun, kaynak ve nesne kodu biçimini, kopyalayabilir, değiştirebilir ve dağıtabilirsiniz.</w:t>
      </w:r>
    </w:p>
    <w:p w14:paraId="16D03EE1" w14:textId="0E03361C" w:rsidR="00D61D35" w:rsidRPr="00EE16B4" w:rsidRDefault="00BC1357" w:rsidP="00D61D35">
      <w:pPr>
        <w:pStyle w:val="Bullet4"/>
        <w:rPr>
          <w:lang w:val="tr-TR"/>
        </w:rPr>
      </w:pPr>
      <w:r>
        <w:rPr>
          <w:rFonts w:eastAsia="Tahoma"/>
          <w:b/>
          <w:bCs/>
          <w:lang w:val="tr-TR"/>
        </w:rPr>
        <w:t>Üçüncü Taraf Dağıtım.</w:t>
      </w:r>
      <w:r>
        <w:rPr>
          <w:rFonts w:eastAsia="Tahoma"/>
          <w:lang w:val="tr-TR"/>
        </w:rPr>
        <w:t xml:space="preserve"> Uygulamalarınızın dağıtımcılarının, söz konusu uygulamaların bir parçası olarak Dağıtılabilir Kodu kopyalamalarına ve dağıtmalarına izin verebilirsiniz.</w:t>
      </w:r>
    </w:p>
    <w:p w14:paraId="4E090A64" w14:textId="6F15E9FC" w:rsidR="00D61D35" w:rsidRPr="00967217" w:rsidRDefault="00BC1357" w:rsidP="00D61D35">
      <w:pPr>
        <w:pStyle w:val="Heading2"/>
        <w:ind w:left="720" w:hanging="360"/>
        <w:rPr>
          <w:lang w:val="tr-TR"/>
        </w:rPr>
      </w:pPr>
      <w:r>
        <w:rPr>
          <w:rFonts w:eastAsia="Tahoma"/>
          <w:lang w:val="tr-TR"/>
        </w:rPr>
        <w:t xml:space="preserve">Dağıtım Gereksinimleri. </w:t>
      </w:r>
      <w:r>
        <w:rPr>
          <w:rFonts w:eastAsia="Tahoma"/>
          <w:b w:val="0"/>
          <w:bCs w:val="0"/>
          <w:lang w:val="tr-TR"/>
        </w:rPr>
        <w:t>Dağıttığınız herhangi bir Dağıtılabilir Kod için:</w:t>
      </w:r>
    </w:p>
    <w:p w14:paraId="4BE07133" w14:textId="77777777" w:rsidR="00D61D35" w:rsidRPr="00967217" w:rsidRDefault="00BC1357" w:rsidP="00517446">
      <w:pPr>
        <w:pStyle w:val="Bullet4"/>
        <w:rPr>
          <w:lang w:val="tr-TR"/>
        </w:rPr>
      </w:pPr>
      <w:r>
        <w:rPr>
          <w:rFonts w:eastAsia="Tahoma"/>
          <w:lang w:val="tr-TR"/>
        </w:rPr>
        <w:t>uygulamalarınızda söz konusu koda önemli birincil işlevsellikler eklemiş olmanız ve</w:t>
      </w:r>
    </w:p>
    <w:p w14:paraId="7C638751" w14:textId="77777777" w:rsidR="00D61D35" w:rsidRPr="00967217" w:rsidRDefault="00BC1357" w:rsidP="00D61D35">
      <w:pPr>
        <w:pStyle w:val="Bullet4"/>
        <w:rPr>
          <w:lang w:val="tr-TR"/>
        </w:rPr>
      </w:pPr>
      <w:r>
        <w:rPr>
          <w:rFonts w:eastAsia="Tahoma"/>
          <w:lang w:val="tr-TR"/>
        </w:rPr>
        <w:t>dağıtımcıların ve harici son kullanıcıların Dağıtılabilir Kodu en azından bu sözleşme kadar koruyan koşulları kabul etmelerini zorunlu tutmanız gerekir.</w:t>
      </w:r>
    </w:p>
    <w:p w14:paraId="114B2DCF" w14:textId="77777777" w:rsidR="00D61D35" w:rsidRPr="00103DCB" w:rsidRDefault="00BC1357" w:rsidP="00D61D35">
      <w:pPr>
        <w:pStyle w:val="Heading2"/>
        <w:ind w:left="720" w:hanging="360"/>
      </w:pPr>
      <w:r>
        <w:rPr>
          <w:rFonts w:eastAsia="Tahoma"/>
          <w:lang w:val="tr-TR"/>
        </w:rPr>
        <w:t>Dağıtım Sınırlamaları.</w:t>
      </w:r>
      <w:r>
        <w:rPr>
          <w:rFonts w:eastAsia="Tahoma"/>
          <w:b w:val="0"/>
          <w:bCs w:val="0"/>
          <w:lang w:val="tr-TR"/>
        </w:rPr>
        <w:t xml:space="preserve"> Şunları yapamazsınız:</w:t>
      </w:r>
    </w:p>
    <w:p w14:paraId="0C290996" w14:textId="77777777" w:rsidR="00D61D35" w:rsidRPr="007869AA" w:rsidRDefault="00BC1357" w:rsidP="00D61D35">
      <w:pPr>
        <w:pStyle w:val="Bullet4"/>
      </w:pPr>
      <w:r>
        <w:rPr>
          <w:rFonts w:eastAsia="Tahoma"/>
          <w:lang w:val="tr-TR"/>
        </w:rPr>
        <w:t>Microsoft'un ticari markalarını uygulamalarınızın adlarında kullanmak veya Microsoft kaynaklı olduğunu veya Microsoft tarafından desteklendiğini düşündürecek şekilde kullanmak veya</w:t>
      </w:r>
    </w:p>
    <w:p w14:paraId="1D61797D" w14:textId="77777777" w:rsidR="00D61D35" w:rsidRPr="00EE16B4" w:rsidRDefault="00BC1357" w:rsidP="00D61D35">
      <w:pPr>
        <w:pStyle w:val="Bullet4"/>
        <w:rPr>
          <w:lang w:val="tr-TR"/>
        </w:rPr>
      </w:pPr>
      <w:r>
        <w:rPr>
          <w:rFonts w:eastAsia="Tahoma"/>
          <w:lang w:val="tr-TR"/>
        </w:rPr>
        <w:t xml:space="preserve">Herhangi bir bölümü bir Kapsam Dışı Lisansa konu olacak şekilde Dağıtılabilir Kodun kaynak kodunu değiştirmek veya dağıtmak. "Kapsam Dışı Lisans"; kodun kullanım, değişiklik veya dağıtım koşulu olarak (i) </w:t>
      </w:r>
      <w:r>
        <w:rPr>
          <w:rFonts w:eastAsia="Tahoma"/>
          <w:lang w:val="tr-TR"/>
        </w:rPr>
        <w:lastRenderedPageBreak/>
        <w:t>kodun, kaynak kod biçiminde açıklanmasını ya da dağıtılmasını veya (ii) diğer kişilerin onu değiştirme hakkının olmasını gerektiren lisanstır.</w:t>
      </w:r>
    </w:p>
    <w:p w14:paraId="3F7E7A84" w14:textId="77777777" w:rsidR="002D59F4" w:rsidRPr="00FD5289" w:rsidRDefault="00BC1357" w:rsidP="002D59F4">
      <w:pPr>
        <w:pStyle w:val="Heading1"/>
        <w:ind w:left="360" w:hanging="360"/>
        <w:rPr>
          <w:rFonts w:eastAsia="SimSun"/>
        </w:rPr>
      </w:pPr>
      <w:r>
        <w:rPr>
          <w:rFonts w:eastAsia="Tahoma"/>
          <w:lang w:val="tr-TR"/>
        </w:rPr>
        <w:t>UZANTILAR GELİŞTİRMEK.</w:t>
      </w:r>
    </w:p>
    <w:p w14:paraId="722EE614" w14:textId="05CCB3A0" w:rsidR="002D59F4" w:rsidRPr="00EE16B4" w:rsidRDefault="00BC1357" w:rsidP="002D59F4">
      <w:pPr>
        <w:pStyle w:val="Heading2"/>
        <w:tabs>
          <w:tab w:val="clear" w:pos="813"/>
          <w:tab w:val="num" w:pos="1350"/>
        </w:tabs>
        <w:ind w:left="720" w:hanging="360"/>
        <w:rPr>
          <w:rFonts w:eastAsia="SimSun"/>
          <w:b w:val="0"/>
          <w:lang w:val="tr-TR"/>
        </w:rPr>
      </w:pPr>
      <w:r>
        <w:rPr>
          <w:rFonts w:eastAsia="Tahoma"/>
          <w:lang w:val="tr-TR"/>
        </w:rPr>
        <w:t xml:space="preserve">Uzantıların Kısıtlanması. </w:t>
      </w:r>
      <w:r>
        <w:rPr>
          <w:rFonts w:eastAsia="Tahoma"/>
          <w:b w:val="0"/>
          <w:bCs w:val="0"/>
          <w:lang w:val="tr-TR"/>
        </w:rPr>
        <w:t>Yazılım (veya Visual Studio ürün ailesinin bir başka bileşeni) için yazılımda uygulanmış teknik kısıtlamaları aşacak şekilde uzantılar geliştiremez veya başkalarının geliştirmesine olanak sağlayamazsınız. Eğer Microsoft, yazılımın için genişletmeyi teknik olarak sınırlar veya devre dışı bırakırsa diğer şeylerin yanında, yazılıma herhangi bir Microsoft’a ait olmayan eklenti, makro veya paket yükleyerek veya enjekte ederek; yazılım kayıt ayarlarını değiştirerek veya diğer Visual Studio ürün ailesinde bulunanlara eşdeğer özellikler veya işlevsellik ekleyerek yazılımı genişletemezsiniz.</w:t>
      </w:r>
    </w:p>
    <w:p w14:paraId="0C3D7C17" w14:textId="3D2AD485" w:rsidR="002D59F4" w:rsidRPr="00EE16B4" w:rsidRDefault="00BC1357" w:rsidP="002D59F4">
      <w:pPr>
        <w:pStyle w:val="Heading2"/>
        <w:tabs>
          <w:tab w:val="clear" w:pos="813"/>
          <w:tab w:val="num" w:pos="1350"/>
        </w:tabs>
        <w:ind w:left="720" w:hanging="360"/>
        <w:rPr>
          <w:b w:val="0"/>
          <w:lang w:val="tr-TR"/>
        </w:rPr>
      </w:pPr>
      <w:r>
        <w:rPr>
          <w:rFonts w:eastAsia="Tahoma"/>
          <w:lang w:val="tr-TR"/>
        </w:rPr>
        <w:t>Yazılımın Bozulmaması</w:t>
      </w:r>
      <w:r>
        <w:rPr>
          <w:rFonts w:eastAsia="Tahoma"/>
          <w:b w:val="0"/>
          <w:bCs w:val="0"/>
          <w:lang w:val="tr-TR"/>
        </w:rPr>
        <w:t>. Yazılım (veya Visual Studio ürün ailesinin başka bir bileşeni) için uzantı geliştirdiğinizde, bu tür işlemlerin yazılımın (veya söz konusu bileşenin) ya da yazılımın önceki sürüm veya basımının herhangi bir özelliğini devre dışı bırakmadığından ve işlevlerini olumsuz olarak etkilemediğinden emin olmak için uzantınızın yüklemesini, yüklemesini ve çalışmasını test etmeniz gerekir.</w:t>
      </w:r>
    </w:p>
    <w:p w14:paraId="2DCE2458" w14:textId="77777777" w:rsidR="00495061" w:rsidRPr="00495061" w:rsidRDefault="00BC1357" w:rsidP="00C960FB">
      <w:pPr>
        <w:pStyle w:val="Heading1"/>
        <w:tabs>
          <w:tab w:val="clear" w:pos="360"/>
          <w:tab w:val="num" w:pos="5940"/>
        </w:tabs>
        <w:ind w:left="360" w:hanging="360"/>
        <w:rPr>
          <w:rFonts w:eastAsia="SimSun"/>
        </w:rPr>
      </w:pPr>
      <w:r>
        <w:rPr>
          <w:rFonts w:eastAsia="Tahoma"/>
          <w:lang w:val="tr-TR"/>
        </w:rPr>
        <w:t xml:space="preserve">VERİLER. </w:t>
      </w:r>
    </w:p>
    <w:p w14:paraId="58552154" w14:textId="580B548F" w:rsidR="00D61D35" w:rsidRPr="00495061" w:rsidRDefault="00BC1357" w:rsidP="00495061">
      <w:pPr>
        <w:pStyle w:val="Heading2"/>
        <w:ind w:left="720" w:hanging="360"/>
        <w:rPr>
          <w:b w:val="0"/>
        </w:rPr>
      </w:pPr>
      <w:r>
        <w:rPr>
          <w:rFonts w:eastAsia="Tahoma"/>
          <w:lang w:val="tr-TR"/>
        </w:rPr>
        <w:t xml:space="preserve">Veri Toplama. </w:t>
      </w:r>
      <w:r>
        <w:rPr>
          <w:rFonts w:eastAsia="Tahoma"/>
          <w:b w:val="0"/>
          <w:bCs w:val="0"/>
          <w:lang w:val="tr-TR"/>
        </w:rPr>
        <w:t>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Ayrıca yazılımda, sizin</w:t>
      </w:r>
      <w:r>
        <w:rPr>
          <w:rFonts w:eastAsia="Tahoma"/>
          <w:b w:val="0"/>
          <w:bCs w:val="0"/>
          <w:color w:val="000000"/>
          <w:lang w:val="tr-TR"/>
        </w:rPr>
        <w:t xml:space="preserve"> ve Microsoft'un uygulamalarınızın kullanıcılarından veri toplamasına olanak sağlayan bazı özellikler vardır.</w:t>
      </w:r>
      <w:r>
        <w:rPr>
          <w:rFonts w:eastAsia="Tahoma"/>
          <w:b w:val="0"/>
          <w:bCs w:val="0"/>
          <w:lang w:val="tr-TR"/>
        </w:rPr>
        <w:t xml:space="preserve"> Bu özellikleri kullanmanız durumunda, uygulamalarınızın kullanıcılarına uygun bildirimleri sağlamak da dâhil, ilgili yasalara uymanız ve bu bildirimlerle birlikte, Microsoft'un gizlilik beyanını sağlamanız gerekir. Gizlilik bildirimimiz şu adrestedir: </w:t>
      </w:r>
      <w:hyperlink r:id="rId8" w:history="1">
        <w:r>
          <w:rPr>
            <w:rFonts w:eastAsia="Tahoma" w:cs="Times New Roman"/>
            <w:b w:val="0"/>
            <w:bCs w:val="0"/>
            <w:color w:val="0000FF"/>
            <w:u w:val="single"/>
            <w:lang w:val="tr-TR"/>
          </w:rPr>
          <w:t>https://go.microsoft.com/fwlink/?LinkID=824704</w:t>
        </w:r>
      </w:hyperlink>
      <w:r>
        <w:rPr>
          <w:rFonts w:eastAsia="Tahoma" w:cs="Times New Roman"/>
          <w:b w:val="0"/>
          <w:bCs w:val="0"/>
          <w:color w:val="0000FF"/>
          <w:u w:val="single"/>
          <w:lang w:val="tr-TR"/>
        </w:rPr>
        <w:t xml:space="preserve">. </w:t>
      </w:r>
      <w:r>
        <w:rPr>
          <w:rFonts w:eastAsia="Tahoma"/>
          <w:b w:val="0"/>
          <w:bCs w:val="0"/>
          <w:lang w:val="tr-TR"/>
        </w:rPr>
        <w:t>Veri toplama ve kullanımı hakkında daha fazla bilgiyi, yazılım belgelerinde ve gizlilik bildirimimizde bulabilirsiniz. Yazılımı kullanmanız, bu uygulamalara verdiğiniz onay yerine geçer.</w:t>
      </w:r>
    </w:p>
    <w:p w14:paraId="54EC79CB" w14:textId="6D1B4464" w:rsidR="00495061" w:rsidRPr="007F18B2" w:rsidRDefault="00BC1357" w:rsidP="00495061">
      <w:pPr>
        <w:pStyle w:val="Heading2"/>
        <w:ind w:left="720" w:hanging="360"/>
        <w:rPr>
          <w:rFonts w:eastAsia="SimSun"/>
        </w:rPr>
      </w:pPr>
      <w:r>
        <w:rPr>
          <w:rFonts w:eastAsia="Tahoma"/>
          <w:lang w:val="tr-TR"/>
        </w:rPr>
        <w:t xml:space="preserve">Kişisel Verilerin İşlenmesi. </w:t>
      </w:r>
      <w:r>
        <w:rPr>
          <w:rFonts w:eastAsia="Tahoma"/>
          <w:b w:val="0"/>
          <w:bCs w:val="0"/>
          <w:lang w:val="tr-TR"/>
        </w:rPr>
        <w:t xml:space="preserve">Microsoft’un yazılımla bağlantılı olarak bir kişisel veri işleyen veya alt işleyen olması halinde, Microsoft,   </w:t>
      </w:r>
      <w:hyperlink r:id="rId9" w:history="1">
        <w:r>
          <w:rPr>
            <w:rFonts w:eastAsia="Tahoma"/>
            <w:b w:val="0"/>
            <w:bCs w:val="0"/>
            <w:color w:val="0000FF"/>
            <w:u w:val="single"/>
            <w:lang w:val="tr-TR"/>
          </w:rPr>
          <w:t>https://docs.microsoft.com/en-us/legal/gdpr</w:t>
        </w:r>
      </w:hyperlink>
      <w:r>
        <w:rPr>
          <w:rFonts w:eastAsia="Tahoma"/>
          <w:b w:val="0"/>
          <w:bCs w:val="0"/>
          <w:lang w:val="tr-TR"/>
        </w:rPr>
        <w:t xml:space="preserve"> adresinde yer alan Çevrimiçi Hizmet Şartlarının Avrupa Birliği Genel Veri Koruma Düzenlemesi Şartlarını 25 Mayıs 2018 itibarıyla tüm müşterilere taahhüt eder.</w:t>
      </w:r>
    </w:p>
    <w:p w14:paraId="0F093844" w14:textId="4563BD07" w:rsidR="00D61D35" w:rsidRPr="007869AA" w:rsidRDefault="00BC1357" w:rsidP="00D61D35">
      <w:pPr>
        <w:pStyle w:val="Heading1"/>
        <w:ind w:left="360" w:hanging="360"/>
      </w:pPr>
      <w:r>
        <w:rPr>
          <w:rFonts w:eastAsia="Tahoma"/>
          <w:lang w:val="tr-TR"/>
        </w:rPr>
        <w:t xml:space="preserve">LİSANS KAPSAMI. </w:t>
      </w:r>
      <w:r>
        <w:rPr>
          <w:rFonts w:eastAsia="Tahoma"/>
          <w:b w:val="0"/>
          <w:bCs w:val="0"/>
          <w:lang w:val="tr-TR"/>
        </w:rPr>
        <w:t>Yazılımın satışı yapılmamakta, lisansı verilmektedir. Bu lisans şartları size yalnızca yazılımı kullanma için bazı haklar verir. Microsoft diğer hakların tümünü saklı tutar. Bu sınırlamalara rağmen ilgili yasalar size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6FC0422C" w14:textId="77777777" w:rsidR="00D61D35" w:rsidRPr="00EE16B4" w:rsidRDefault="00BC1357" w:rsidP="00D61D35">
      <w:pPr>
        <w:pStyle w:val="Bullet4"/>
        <w:rPr>
          <w:lang w:val="tr-TR"/>
        </w:rPr>
      </w:pPr>
      <w:r>
        <w:rPr>
          <w:rFonts w:eastAsia="Tahoma"/>
          <w:lang w:val="tr-TR"/>
        </w:rPr>
        <w:tab/>
        <w:t>yazılımın teknik sınırlamalarını aşacak çözümler üretmek;</w:t>
      </w:r>
    </w:p>
    <w:p w14:paraId="3DB7780A" w14:textId="57AB7A98" w:rsidR="00D61D35" w:rsidRPr="00EE16B4" w:rsidRDefault="00BC1357" w:rsidP="00D61D35">
      <w:pPr>
        <w:pStyle w:val="Bullet4"/>
        <w:rPr>
          <w:rFonts w:eastAsia="SimSun"/>
          <w:lang w:val="tr-TR"/>
        </w:rPr>
      </w:pPr>
      <w:r>
        <w:rPr>
          <w:rFonts w:eastAsia="Tahoma"/>
          <w:lang w:val="tr-TR"/>
        </w:rPr>
        <w:t>yazılıma dâhil edilmiş olabilecek belirli açık kaynaklı bileşenlerin kullanımının tabi olduğu üçüncü kişi lisans verme şartlarının gerektirmesi haricinde yazılımı tersine mühendislik işlemine tabi tutmak, kaynak koda dönüştürmek veya assembler diline çevirmek ya da yazılımın kaynak kodunu başka bir şekilde türetme girişiminde bulunmak;</w:t>
      </w:r>
    </w:p>
    <w:p w14:paraId="4284DA65" w14:textId="77777777" w:rsidR="00D61D35" w:rsidRPr="00EE16B4" w:rsidRDefault="00BC1357" w:rsidP="00D61D35">
      <w:pPr>
        <w:pStyle w:val="Bullet4"/>
        <w:rPr>
          <w:lang w:val="tr-TR"/>
        </w:rPr>
      </w:pPr>
      <w:r>
        <w:rPr>
          <w:rFonts w:eastAsia="Tahoma"/>
          <w:lang w:val="tr-TR"/>
        </w:rPr>
        <w:t>Microsoft veya tedarikçilerinin yazılımdaki herhangi bir bildirimini kaldırmak, küçültmek, engellemek ya da değiştirmek;</w:t>
      </w:r>
    </w:p>
    <w:p w14:paraId="7DBB2875" w14:textId="688AFF92" w:rsidR="00D61D35" w:rsidRPr="00967217" w:rsidRDefault="00BC1357" w:rsidP="00D61D35">
      <w:pPr>
        <w:pStyle w:val="Bullet4"/>
        <w:rPr>
          <w:lang w:val="tr-TR"/>
        </w:rPr>
      </w:pPr>
      <w:r>
        <w:rPr>
          <w:rFonts w:eastAsia="Tahoma"/>
          <w:lang w:val="tr-TR"/>
        </w:rPr>
        <w:t xml:space="preserve">yazılımı kanuna aykırı bir şekilde kullanmak; </w:t>
      </w:r>
    </w:p>
    <w:p w14:paraId="6BB002F3" w14:textId="377B6286" w:rsidR="00C41639" w:rsidRPr="00967217" w:rsidRDefault="00BC1357" w:rsidP="00D61D35">
      <w:pPr>
        <w:pStyle w:val="Bullet4"/>
        <w:rPr>
          <w:lang w:val="tr-TR"/>
        </w:rPr>
      </w:pPr>
      <w:r>
        <w:rPr>
          <w:rFonts w:eastAsia="Tahoma"/>
          <w:lang w:val="tr-TR"/>
        </w:rPr>
        <w:t xml:space="preserve">yazılımı paylaşmak, yayınlamak, süreli veya süresiz kiralamak veya </w:t>
      </w:r>
    </w:p>
    <w:p w14:paraId="100C138F" w14:textId="137F8A65" w:rsidR="00D61D35" w:rsidRPr="00967217" w:rsidRDefault="00BC1357" w:rsidP="00D61D35">
      <w:pPr>
        <w:pStyle w:val="Bullet4"/>
        <w:rPr>
          <w:lang w:val="tr-TR"/>
        </w:rPr>
      </w:pPr>
      <w:r>
        <w:rPr>
          <w:rFonts w:eastAsia="Tahoma"/>
          <w:lang w:val="tr-TR"/>
        </w:rPr>
        <w:t>yazılımı başkalarının kullanımı için bağımsız teklif olarak sağlamak veya onu uygulamalarınızdan herhangi biri ile birleştirmek ya da yazılımı veya bu sözleşmeyi herhangi bir üçüncü tarafa devretmek.</w:t>
      </w:r>
    </w:p>
    <w:p w14:paraId="3A56FC96" w14:textId="2F27D453" w:rsidR="00D61D35" w:rsidRPr="00967217" w:rsidRDefault="00BC1357" w:rsidP="00D61D35">
      <w:pPr>
        <w:pStyle w:val="Heading1"/>
        <w:ind w:left="360" w:hanging="360"/>
        <w:rPr>
          <w:u w:val="single"/>
          <w:lang w:val="tr-TR"/>
        </w:rPr>
      </w:pPr>
      <w:r>
        <w:rPr>
          <w:rFonts w:eastAsia="Tahoma"/>
          <w:lang w:val="tr-TR"/>
        </w:rPr>
        <w:t xml:space="preserve">DESTEK. </w:t>
      </w:r>
      <w:hyperlink r:id="rId10" w:history="1">
        <w:r>
          <w:rPr>
            <w:rFonts w:eastAsia="Tahoma"/>
            <w:b w:val="0"/>
            <w:bCs w:val="0"/>
            <w:lang w:val="tr-TR"/>
          </w:rPr>
          <w:t>Yazılım</w:t>
        </w:r>
      </w:hyperlink>
      <w:r w:rsidRPr="00967217">
        <w:rPr>
          <w:lang w:val="tr-TR"/>
        </w:rPr>
        <w:t xml:space="preserve"> </w:t>
      </w:r>
      <w:r>
        <w:rPr>
          <w:rFonts w:eastAsia="Tahoma"/>
          <w:b w:val="0"/>
          <w:bCs w:val="0"/>
          <w:lang w:val="tr-TR"/>
        </w:rPr>
        <w:t>"olduğu gibi" sağlandığından, yazılım için destek hizmeti veremeyebiliriz.</w:t>
      </w:r>
    </w:p>
    <w:p w14:paraId="3624E3B4" w14:textId="77777777" w:rsidR="00D61D35" w:rsidRPr="00967217" w:rsidRDefault="00BC1357" w:rsidP="00D61D35">
      <w:pPr>
        <w:pStyle w:val="Heading1"/>
        <w:ind w:left="360" w:hanging="360"/>
        <w:rPr>
          <w:lang w:val="tr-TR"/>
        </w:rPr>
      </w:pPr>
      <w:r>
        <w:rPr>
          <w:rFonts w:eastAsia="Tahoma"/>
          <w:lang w:val="tr-TR"/>
        </w:rPr>
        <w:t xml:space="preserve">SÖZLEŞMENİN TAMAMI.  </w:t>
      </w:r>
      <w:r>
        <w:rPr>
          <w:rFonts w:eastAsia="Tahoma"/>
          <w:b w:val="0"/>
          <w:bCs w:val="0"/>
          <w:lang w:val="tr-TR"/>
        </w:rPr>
        <w:t>Bu sözleşme ve eklerin, güncelleştirmelerin, İnternet tabanlı hizmetlerin ve kullandığınız destek hizmetlerinin koşulları, yazılım ve destek hizmetlerine yönelik sözleşmenin tamamını oluşturur.</w:t>
      </w:r>
    </w:p>
    <w:p w14:paraId="404048BB" w14:textId="77777777" w:rsidR="00B51307" w:rsidRPr="00EE16B4" w:rsidRDefault="00BC1357" w:rsidP="00B51307">
      <w:pPr>
        <w:pStyle w:val="Heading1"/>
        <w:ind w:left="360" w:hanging="360"/>
        <w:rPr>
          <w:rStyle w:val="Hyperlink"/>
          <w:rFonts w:cs="Tahoma"/>
          <w:b w:val="0"/>
          <w:color w:val="auto"/>
          <w:u w:val="none"/>
          <w:lang w:val="tr-TR"/>
        </w:rPr>
      </w:pPr>
      <w:r>
        <w:rPr>
          <w:rFonts w:eastAsia="Tahoma"/>
          <w:lang w:val="tr-TR"/>
        </w:rPr>
        <w:lastRenderedPageBreak/>
        <w:t xml:space="preserve">İHRACAT KISITLAMALARI.  </w:t>
      </w:r>
      <w:r>
        <w:rPr>
          <w:rFonts w:eastAsia="Tahoma"/>
          <w:b w:val="0"/>
          <w:bCs w:val="0"/>
          <w:lang w:val="tr-TR"/>
        </w:rPr>
        <w:t xml:space="preserve">Hedef yer, son kullanıcı ve son kullanım sınırlamalarını da içeren, yazılım konusunda geçerli olan tüm yurt içi ve uluslararası ihracat yasalarına ve düzenlemelerine uygun şekilde davranmanız gerekir. İhracat kısıtlamalarıyla ilgili daha fazla bilgi için, </w:t>
      </w:r>
      <w:hyperlink r:id="rId11" w:history="1">
        <w:r>
          <w:rPr>
            <w:rFonts w:eastAsia="Tahoma"/>
            <w:b w:val="0"/>
            <w:bCs w:val="0"/>
            <w:color w:val="0000FF"/>
            <w:u w:val="single"/>
            <w:lang w:val="tr-TR"/>
          </w:rPr>
          <w:t>www.microsoft.com/exporting</w:t>
        </w:r>
      </w:hyperlink>
      <w:r>
        <w:rPr>
          <w:rFonts w:eastAsia="Tahoma"/>
          <w:b w:val="0"/>
          <w:bCs w:val="0"/>
          <w:color w:val="0000FF"/>
          <w:u w:val="single"/>
          <w:lang w:val="tr-TR"/>
        </w:rPr>
        <w:t xml:space="preserve"> </w:t>
      </w:r>
      <w:r w:rsidRPr="00967217">
        <w:rPr>
          <w:rFonts w:eastAsia="Tahoma"/>
          <w:b w:val="0"/>
          <w:bCs w:val="0"/>
          <w:lang w:val="tr-TR"/>
        </w:rPr>
        <w:t>adresini ziyaret edin.</w:t>
      </w:r>
    </w:p>
    <w:p w14:paraId="7D330DB0" w14:textId="77777777" w:rsidR="00D61D35" w:rsidRPr="00EE16B4" w:rsidRDefault="00BC1357" w:rsidP="00D61D35">
      <w:pPr>
        <w:pStyle w:val="Heading1"/>
        <w:ind w:left="360" w:hanging="360"/>
        <w:rPr>
          <w:lang w:val="tr-TR"/>
        </w:rPr>
      </w:pPr>
      <w:r>
        <w:rPr>
          <w:rFonts w:eastAsia="Tahoma"/>
          <w:lang w:val="tr-TR"/>
        </w:rPr>
        <w:t xml:space="preserve">İLGİLİ YASALAR. </w:t>
      </w:r>
      <w:r>
        <w:rPr>
          <w:rFonts w:eastAsia="Tahoma"/>
          <w:b w:val="0"/>
          <w:bCs w:val="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14:paraId="2AA11E63" w14:textId="660D1FD5" w:rsidR="000E0F9C" w:rsidRPr="00EE16B4" w:rsidRDefault="00BC1357" w:rsidP="00465345">
      <w:pPr>
        <w:pStyle w:val="Heading1"/>
        <w:tabs>
          <w:tab w:val="num" w:pos="540"/>
        </w:tabs>
        <w:ind w:left="360" w:hanging="360"/>
        <w:rPr>
          <w:b w:val="0"/>
          <w:lang w:val="tr-TR"/>
        </w:rPr>
      </w:pPr>
      <w:r>
        <w:rPr>
          <w:rFonts w:eastAsia="Tahoma"/>
          <w:lang w:val="tr-TR"/>
        </w:rPr>
        <w:t xml:space="preserve">TÜKETİCİ HAKLARI, BÖLGESEL DEĞİŞİMLER. </w:t>
      </w:r>
      <w:r>
        <w:rPr>
          <w:rFonts w:eastAsia="Tahoma"/>
          <w:b w:val="0"/>
          <w:bCs w:val="0"/>
          <w:lang w:val="tr-TR"/>
        </w:rPr>
        <w:t>Bu lisans şartları belirli yasal haklar tanımlamaktadır.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021782C7" w14:textId="46192374" w:rsidR="000E0F9C" w:rsidRPr="00EE16B4" w:rsidRDefault="00BC1357" w:rsidP="000E0F9C">
      <w:pPr>
        <w:pStyle w:val="Heading2"/>
        <w:numPr>
          <w:ilvl w:val="0"/>
          <w:numId w:val="10"/>
        </w:numPr>
        <w:tabs>
          <w:tab w:val="clear" w:pos="7923"/>
        </w:tabs>
        <w:rPr>
          <w:b w:val="0"/>
          <w:lang w:val="tr-TR"/>
        </w:rPr>
      </w:pPr>
      <w:r>
        <w:rPr>
          <w:rFonts w:eastAsia="Tahoma"/>
          <w:lang w:val="tr-TR"/>
        </w:rPr>
        <w:t xml:space="preserve">Avustralya. </w:t>
      </w:r>
      <w:r>
        <w:rPr>
          <w:rFonts w:eastAsia="Tahoma"/>
          <w:b w:val="0"/>
          <w:bCs w:val="0"/>
          <w:lang w:val="tr-TR"/>
        </w:rPr>
        <w:t>Avustralya Tüketici Yasası kapsamında kanuni garantileriniz bulunmaktadır ve bu lisans şartlarında hiç bir şey, bu hakları etkilemeyi amaçlamaz.</w:t>
      </w:r>
    </w:p>
    <w:p w14:paraId="5B00B25B" w14:textId="42F96AB1" w:rsidR="000E0F9C" w:rsidRPr="00EE16B4" w:rsidRDefault="00BC1357" w:rsidP="000E0F9C">
      <w:pPr>
        <w:pStyle w:val="Heading2"/>
        <w:numPr>
          <w:ilvl w:val="0"/>
          <w:numId w:val="10"/>
        </w:numPr>
        <w:tabs>
          <w:tab w:val="clear" w:pos="7923"/>
        </w:tabs>
        <w:rPr>
          <w:b w:val="0"/>
          <w:lang w:val="tr-TR"/>
        </w:rPr>
      </w:pPr>
      <w:r>
        <w:rPr>
          <w:rFonts w:eastAsia="Tahoma"/>
          <w:lang w:val="tr-TR"/>
        </w:rPr>
        <w:t xml:space="preserve">Kanada. </w:t>
      </w:r>
      <w:r>
        <w:rPr>
          <w:rFonts w:eastAsia="Tahoma"/>
          <w:b w:val="0"/>
          <w:bCs w:val="0"/>
          <w:lang w:val="tr-TR"/>
        </w:rPr>
        <w:t>İnternet erişimini kapatarak cihazınızda güncelleştirme almayı durdurabilirsiniz. İnternete bağlanırsanız ve bağlandığınızda yazılım, güncelleştirmeleri kontrol etmeye ve yüklemeye devam eder.</w:t>
      </w:r>
    </w:p>
    <w:p w14:paraId="44C73164" w14:textId="77777777" w:rsidR="000E0F9C" w:rsidRPr="00465345" w:rsidRDefault="00BC1357" w:rsidP="000E0F9C">
      <w:pPr>
        <w:pStyle w:val="Heading2"/>
        <w:numPr>
          <w:ilvl w:val="0"/>
          <w:numId w:val="10"/>
        </w:numPr>
        <w:tabs>
          <w:tab w:val="clear" w:pos="7923"/>
        </w:tabs>
        <w:rPr>
          <w:b w:val="0"/>
        </w:rPr>
      </w:pPr>
      <w:r>
        <w:rPr>
          <w:rFonts w:eastAsia="Tahoma"/>
          <w:lang w:val="tr-TR"/>
        </w:rPr>
        <w:t>Almanya ve Avusturya</w:t>
      </w:r>
      <w:r>
        <w:rPr>
          <w:rFonts w:eastAsia="Tahoma"/>
          <w:b w:val="0"/>
          <w:bCs w:val="0"/>
          <w:lang w:val="tr-TR"/>
        </w:rPr>
        <w:t>.</w:t>
      </w:r>
    </w:p>
    <w:p w14:paraId="28BE9C20" w14:textId="6875FE5B" w:rsidR="000E0F9C" w:rsidRPr="00EE16B4" w:rsidRDefault="00BC1357" w:rsidP="000E0F9C">
      <w:pPr>
        <w:ind w:left="717"/>
        <w:rPr>
          <w:lang w:val="tr-TR"/>
        </w:rPr>
      </w:pPr>
      <w:r>
        <w:rPr>
          <w:rFonts w:eastAsia="Tahoma"/>
          <w:b/>
          <w:bCs/>
          <w:lang w:val="tr-TR"/>
        </w:rPr>
        <w:t>(i)</w:t>
      </w:r>
      <w:r>
        <w:rPr>
          <w:rFonts w:eastAsia="Tahoma"/>
          <w:b/>
          <w:bCs/>
          <w:lang w:val="tr-TR"/>
        </w:rPr>
        <w:tab/>
        <w:t>Garanti.</w:t>
      </w:r>
      <w:r>
        <w:rPr>
          <w:rFonts w:eastAsia="Tahoma"/>
          <w:lang w:val="tr-TR"/>
        </w:rPr>
        <w:t xml:space="preserve"> Uygun şekilde lisanslanmış yazılım büyük ölçüde, yazılıma eşlik eden her türlü Microsoft materyalinde açıklandığı şekilde çalışacaktır. Ancak Microsoft, yazılımla ilgili olarak, sözleşmeden doğan hiçbir taahhüt vermez.</w:t>
      </w:r>
    </w:p>
    <w:p w14:paraId="33784673" w14:textId="77777777" w:rsidR="000E0F9C" w:rsidRPr="00EE16B4" w:rsidRDefault="00BC1357" w:rsidP="000E0F9C">
      <w:pPr>
        <w:ind w:left="717"/>
        <w:rPr>
          <w:lang w:val="tr-TR"/>
        </w:rPr>
      </w:pPr>
      <w:r>
        <w:rPr>
          <w:rFonts w:eastAsia="Tahoma"/>
          <w:b/>
          <w:bCs/>
          <w:lang w:val="tr-TR"/>
        </w:rPr>
        <w:t>(ii)</w:t>
      </w:r>
      <w:r>
        <w:rPr>
          <w:rFonts w:eastAsia="Tahoma"/>
          <w:lang w:val="tr-TR"/>
        </w:rPr>
        <w:tab/>
      </w:r>
      <w:r>
        <w:rPr>
          <w:rFonts w:eastAsia="Tahoma"/>
          <w:b/>
          <w:bCs/>
          <w:lang w:val="tr-TR"/>
        </w:rPr>
        <w:t>Sorumluluğun Sınırlandırılması.</w:t>
      </w:r>
      <w:r>
        <w:rPr>
          <w:rFonts w:eastAsia="Tahoma"/>
          <w:lang w:val="tr-TR"/>
        </w:rPr>
        <w:t xml:space="preserve"> Kasıtlı davranışın, ağır ihmalin, Ürün Sorumluluğu Kanununa dayalı iddiaların yanı sıra, can kaybı veya kişisel ya da fiziksel yaralanma durumunda Microsoft, kanun uyarınca sorumlu olur.</w:t>
      </w:r>
    </w:p>
    <w:p w14:paraId="283386EA" w14:textId="53409BA3" w:rsidR="003F0C02" w:rsidRPr="00EE16B4" w:rsidRDefault="00BC1357" w:rsidP="000E0F9C">
      <w:pPr>
        <w:pStyle w:val="Heading1"/>
        <w:numPr>
          <w:ilvl w:val="0"/>
          <w:numId w:val="0"/>
        </w:numPr>
        <w:ind w:left="717"/>
        <w:rPr>
          <w:b w:val="0"/>
          <w:lang w:val="tr-TR"/>
        </w:rPr>
      </w:pPr>
      <w:r>
        <w:rPr>
          <w:rFonts w:eastAsia="Tahoma"/>
          <w:b w:val="0"/>
          <w:lang w:val="tr-TR"/>
        </w:rPr>
        <w:t>Önceki cümleye tabi olmak üzere (ii) Microsoft'un sözleşmeden doğan önemli yükümlülüklerini ihlal etmesi durumunda, bu yükümlülüklerin yerine getirilmesinin sözleşmenin tam ifasına olanak sağlayacak, ihlalinin bu sözleşmenin amacını tehlikeye düşürecek ve bunlara kısmen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14:paraId="5BCB9061" w14:textId="30767786" w:rsidR="00D61D35" w:rsidRPr="00EE16B4" w:rsidRDefault="00BC1357" w:rsidP="00D61D35">
      <w:pPr>
        <w:pStyle w:val="Heading1"/>
        <w:ind w:left="360" w:hanging="360"/>
        <w:rPr>
          <w:caps/>
          <w:lang w:val="tr-TR"/>
        </w:rPr>
      </w:pPr>
      <w:r>
        <w:rPr>
          <w:rFonts w:eastAsia="Tahoma"/>
          <w:lang w:val="tr-TR"/>
        </w:rPr>
        <w:t xml:space="preserve">GARANTİ REDDİ BEYANI. </w:t>
      </w:r>
      <w:r>
        <w:rPr>
          <w:rFonts w:eastAsia="Tahoma"/>
          <w:caps/>
          <w:lang w:val="tr-TR"/>
        </w:rPr>
        <w:t>Yazılımın lisansı “olduğu gibi” verilmektedir.  Yazılımın kullanımına ilişkin riskler sizin tarafınızdan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2B6EBD1F" w14:textId="77777777" w:rsidR="00D61D35" w:rsidRPr="00EE16B4" w:rsidRDefault="00BC1357" w:rsidP="00D61D35">
      <w:pPr>
        <w:pStyle w:val="Heading1"/>
        <w:ind w:left="360" w:hanging="360"/>
        <w:rPr>
          <w:caps/>
          <w:lang w:val="tr-TR"/>
        </w:rPr>
      </w:pPr>
      <w:r>
        <w:rPr>
          <w:rFonts w:eastAsia="Tahoma"/>
          <w:caps/>
          <w:lang w:val="tr-TR"/>
        </w:rPr>
        <w:t>ZARARLARIN SINIRLANDIRILMASI. Microsoft ve tedarikçilerinden, 5,00 ABD dolarına kadar doğrudan zararları geri alabilirsiniz. Neticede oluşan, kar kaybı, özel, dolaylı veya müspet zararlarla bağlantılı zararlar dahil diğer zararları telafi edemezsiniz.</w:t>
      </w:r>
    </w:p>
    <w:p w14:paraId="525A069B" w14:textId="77777777" w:rsidR="00D61D35" w:rsidRPr="00EE16B4" w:rsidRDefault="00BC1357" w:rsidP="00D61D35">
      <w:pPr>
        <w:pStyle w:val="Body1"/>
        <w:rPr>
          <w:rFonts w:eastAsia="SimSun"/>
          <w:lang w:val="tr-TR"/>
        </w:rPr>
      </w:pPr>
      <w:r>
        <w:rPr>
          <w:rFonts w:eastAsia="Tahoma"/>
          <w:lang w:val="tr-TR"/>
        </w:rPr>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14:paraId="62BC58ED" w14:textId="77777777" w:rsidR="00D61D35" w:rsidRPr="00EE16B4" w:rsidRDefault="00BC1357" w:rsidP="00D61D35">
      <w:pPr>
        <w:pStyle w:val="Bullet4"/>
        <w:numPr>
          <w:ilvl w:val="0"/>
          <w:numId w:val="0"/>
        </w:numPr>
        <w:ind w:left="360"/>
        <w:rPr>
          <w:lang w:val="tr-TR"/>
        </w:rPr>
      </w:pPr>
      <w:r>
        <w:rPr>
          <w:rFonts w:eastAsia="Tahoma"/>
          <w:lang w:val="tr-TR"/>
        </w:rP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14:paraId="6EAC5629" w14:textId="77777777" w:rsidR="000E0F9C" w:rsidRPr="00EE16B4" w:rsidRDefault="000E0F9C" w:rsidP="00D61D35">
      <w:pPr>
        <w:pStyle w:val="Bullet4"/>
        <w:numPr>
          <w:ilvl w:val="0"/>
          <w:numId w:val="0"/>
        </w:numPr>
        <w:ind w:left="360"/>
        <w:rPr>
          <w:lang w:val="tr-TR"/>
        </w:rPr>
      </w:pPr>
    </w:p>
    <w:p w14:paraId="64724978" w14:textId="2F09DEB6" w:rsidR="000E0F9C" w:rsidRPr="00EE16B4" w:rsidRDefault="00EE16B4" w:rsidP="00DF10EF">
      <w:pPr>
        <w:pStyle w:val="Bullet4"/>
        <w:numPr>
          <w:ilvl w:val="0"/>
          <w:numId w:val="0"/>
        </w:numPr>
      </w:pPr>
      <w:r>
        <w:t>EULAID: VS_Community_2019_TRK.1055</w:t>
      </w:r>
    </w:p>
    <w:sectPr w:rsidR="000E0F9C" w:rsidRPr="00EE16B4"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3BCF" w14:textId="77777777" w:rsidR="00827536" w:rsidRDefault="00827536" w:rsidP="00EE16B4">
      <w:pPr>
        <w:spacing w:before="0" w:after="0"/>
      </w:pPr>
      <w:r>
        <w:separator/>
      </w:r>
    </w:p>
  </w:endnote>
  <w:endnote w:type="continuationSeparator" w:id="0">
    <w:p w14:paraId="6EBC80E9" w14:textId="77777777" w:rsidR="00827536" w:rsidRDefault="00827536" w:rsidP="00EE16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A8CC" w14:textId="77777777" w:rsidR="00827536" w:rsidRDefault="00827536" w:rsidP="00EE16B4">
      <w:pPr>
        <w:spacing w:before="0" w:after="0"/>
      </w:pPr>
      <w:r>
        <w:separator/>
      </w:r>
    </w:p>
  </w:footnote>
  <w:footnote w:type="continuationSeparator" w:id="0">
    <w:p w14:paraId="2197401B" w14:textId="77777777" w:rsidR="00827536" w:rsidRDefault="00827536" w:rsidP="00EE16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C208566E">
      <w:start w:val="1"/>
      <w:numFmt w:val="bullet"/>
      <w:lvlText w:val=""/>
      <w:lvlJc w:val="left"/>
      <w:pPr>
        <w:ind w:left="1800" w:hanging="360"/>
      </w:pPr>
      <w:rPr>
        <w:rFonts w:ascii="Symbol" w:eastAsia="Times New Roman" w:hAnsi="Symbol" w:hint="default"/>
      </w:rPr>
    </w:lvl>
    <w:lvl w:ilvl="1" w:tplc="53B47E1E" w:tentative="1">
      <w:start w:val="1"/>
      <w:numFmt w:val="bullet"/>
      <w:lvlText w:val="o"/>
      <w:lvlJc w:val="left"/>
      <w:pPr>
        <w:ind w:left="2520" w:hanging="360"/>
      </w:pPr>
      <w:rPr>
        <w:rFonts w:ascii="Courier New" w:hAnsi="Courier New" w:hint="default"/>
      </w:rPr>
    </w:lvl>
    <w:lvl w:ilvl="2" w:tplc="C7E07CBE" w:tentative="1">
      <w:start w:val="1"/>
      <w:numFmt w:val="bullet"/>
      <w:lvlText w:val=""/>
      <w:lvlJc w:val="left"/>
      <w:pPr>
        <w:ind w:left="3240" w:hanging="360"/>
      </w:pPr>
      <w:rPr>
        <w:rFonts w:ascii="Wingdings" w:hAnsi="Wingdings" w:hint="default"/>
      </w:rPr>
    </w:lvl>
    <w:lvl w:ilvl="3" w:tplc="F8C09932" w:tentative="1">
      <w:start w:val="1"/>
      <w:numFmt w:val="bullet"/>
      <w:lvlText w:val=""/>
      <w:lvlJc w:val="left"/>
      <w:pPr>
        <w:ind w:left="3960" w:hanging="360"/>
      </w:pPr>
      <w:rPr>
        <w:rFonts w:ascii="Symbol" w:hAnsi="Symbol" w:hint="default"/>
      </w:rPr>
    </w:lvl>
    <w:lvl w:ilvl="4" w:tplc="9CAA917A" w:tentative="1">
      <w:start w:val="1"/>
      <w:numFmt w:val="bullet"/>
      <w:lvlText w:val="o"/>
      <w:lvlJc w:val="left"/>
      <w:pPr>
        <w:ind w:left="4680" w:hanging="360"/>
      </w:pPr>
      <w:rPr>
        <w:rFonts w:ascii="Courier New" w:hAnsi="Courier New" w:hint="default"/>
      </w:rPr>
    </w:lvl>
    <w:lvl w:ilvl="5" w:tplc="84264DE8" w:tentative="1">
      <w:start w:val="1"/>
      <w:numFmt w:val="bullet"/>
      <w:lvlText w:val=""/>
      <w:lvlJc w:val="left"/>
      <w:pPr>
        <w:ind w:left="5400" w:hanging="360"/>
      </w:pPr>
      <w:rPr>
        <w:rFonts w:ascii="Wingdings" w:hAnsi="Wingdings" w:hint="default"/>
      </w:rPr>
    </w:lvl>
    <w:lvl w:ilvl="6" w:tplc="13921466" w:tentative="1">
      <w:start w:val="1"/>
      <w:numFmt w:val="bullet"/>
      <w:lvlText w:val=""/>
      <w:lvlJc w:val="left"/>
      <w:pPr>
        <w:ind w:left="6120" w:hanging="360"/>
      </w:pPr>
      <w:rPr>
        <w:rFonts w:ascii="Symbol" w:hAnsi="Symbol" w:hint="default"/>
      </w:rPr>
    </w:lvl>
    <w:lvl w:ilvl="7" w:tplc="D7349C94" w:tentative="1">
      <w:start w:val="1"/>
      <w:numFmt w:val="bullet"/>
      <w:lvlText w:val="o"/>
      <w:lvlJc w:val="left"/>
      <w:pPr>
        <w:ind w:left="6840" w:hanging="360"/>
      </w:pPr>
      <w:rPr>
        <w:rFonts w:ascii="Courier New" w:hAnsi="Courier New" w:hint="default"/>
      </w:rPr>
    </w:lvl>
    <w:lvl w:ilvl="8" w:tplc="4E7C54C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C388ABF0">
      <w:start w:val="1"/>
      <w:numFmt w:val="bullet"/>
      <w:pStyle w:val="Bullet2"/>
      <w:lvlText w:val=""/>
      <w:lvlJc w:val="left"/>
      <w:pPr>
        <w:tabs>
          <w:tab w:val="num" w:pos="720"/>
        </w:tabs>
        <w:ind w:left="720" w:hanging="363"/>
      </w:pPr>
      <w:rPr>
        <w:rFonts w:ascii="Symbol" w:hAnsi="Symbol" w:hint="default"/>
      </w:rPr>
    </w:lvl>
    <w:lvl w:ilvl="1" w:tplc="BDCE0584">
      <w:start w:val="1"/>
      <w:numFmt w:val="bullet"/>
      <w:lvlText w:val="o"/>
      <w:lvlJc w:val="left"/>
      <w:pPr>
        <w:tabs>
          <w:tab w:val="num" w:pos="1440"/>
        </w:tabs>
        <w:ind w:left="1440" w:hanging="360"/>
      </w:pPr>
      <w:rPr>
        <w:rFonts w:ascii="Courier New" w:hAnsi="Courier New" w:hint="default"/>
      </w:rPr>
    </w:lvl>
    <w:lvl w:ilvl="2" w:tplc="0BB6B8EA">
      <w:start w:val="1"/>
      <w:numFmt w:val="bullet"/>
      <w:lvlText w:val=""/>
      <w:lvlJc w:val="left"/>
      <w:pPr>
        <w:tabs>
          <w:tab w:val="num" w:pos="2160"/>
        </w:tabs>
        <w:ind w:left="2160" w:hanging="360"/>
      </w:pPr>
      <w:rPr>
        <w:rFonts w:ascii="Wingdings" w:hAnsi="Wingdings" w:hint="default"/>
      </w:rPr>
    </w:lvl>
    <w:lvl w:ilvl="3" w:tplc="601C8FA6">
      <w:start w:val="1"/>
      <w:numFmt w:val="bullet"/>
      <w:lvlText w:val=""/>
      <w:lvlJc w:val="left"/>
      <w:pPr>
        <w:tabs>
          <w:tab w:val="num" w:pos="2880"/>
        </w:tabs>
        <w:ind w:left="2880" w:hanging="360"/>
      </w:pPr>
      <w:rPr>
        <w:rFonts w:ascii="Symbol" w:hAnsi="Symbol" w:hint="default"/>
      </w:rPr>
    </w:lvl>
    <w:lvl w:ilvl="4" w:tplc="557CCF4C">
      <w:start w:val="1"/>
      <w:numFmt w:val="bullet"/>
      <w:lvlText w:val="o"/>
      <w:lvlJc w:val="left"/>
      <w:pPr>
        <w:tabs>
          <w:tab w:val="num" w:pos="3600"/>
        </w:tabs>
        <w:ind w:left="3600" w:hanging="360"/>
      </w:pPr>
      <w:rPr>
        <w:rFonts w:ascii="Courier New" w:hAnsi="Courier New" w:hint="default"/>
      </w:rPr>
    </w:lvl>
    <w:lvl w:ilvl="5" w:tplc="15F49E62">
      <w:start w:val="1"/>
      <w:numFmt w:val="bullet"/>
      <w:lvlText w:val=""/>
      <w:lvlJc w:val="left"/>
      <w:pPr>
        <w:tabs>
          <w:tab w:val="num" w:pos="4320"/>
        </w:tabs>
        <w:ind w:left="4320" w:hanging="360"/>
      </w:pPr>
      <w:rPr>
        <w:rFonts w:ascii="Wingdings" w:hAnsi="Wingdings" w:hint="default"/>
      </w:rPr>
    </w:lvl>
    <w:lvl w:ilvl="6" w:tplc="894494A6">
      <w:start w:val="1"/>
      <w:numFmt w:val="bullet"/>
      <w:lvlText w:val=""/>
      <w:lvlJc w:val="left"/>
      <w:pPr>
        <w:tabs>
          <w:tab w:val="num" w:pos="5040"/>
        </w:tabs>
        <w:ind w:left="5040" w:hanging="360"/>
      </w:pPr>
      <w:rPr>
        <w:rFonts w:ascii="Symbol" w:hAnsi="Symbol" w:hint="default"/>
      </w:rPr>
    </w:lvl>
    <w:lvl w:ilvl="7" w:tplc="16B80BE8">
      <w:start w:val="1"/>
      <w:numFmt w:val="bullet"/>
      <w:lvlText w:val="o"/>
      <w:lvlJc w:val="left"/>
      <w:pPr>
        <w:tabs>
          <w:tab w:val="num" w:pos="5760"/>
        </w:tabs>
        <w:ind w:left="5760" w:hanging="360"/>
      </w:pPr>
      <w:rPr>
        <w:rFonts w:ascii="Courier New" w:hAnsi="Courier New" w:hint="default"/>
      </w:rPr>
    </w:lvl>
    <w:lvl w:ilvl="8" w:tplc="1FF2EDB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75DAB2EC">
      <w:start w:val="1"/>
      <w:numFmt w:val="bullet"/>
      <w:pStyle w:val="Bullet4"/>
      <w:lvlText w:val=""/>
      <w:lvlJc w:val="left"/>
      <w:pPr>
        <w:tabs>
          <w:tab w:val="num" w:pos="1080"/>
        </w:tabs>
        <w:ind w:left="1078" w:hanging="358"/>
      </w:pPr>
      <w:rPr>
        <w:rFonts w:ascii="Symbol" w:hAnsi="Symbol" w:hint="default"/>
      </w:rPr>
    </w:lvl>
    <w:lvl w:ilvl="1" w:tplc="ABF08E98">
      <w:start w:val="1"/>
      <w:numFmt w:val="bullet"/>
      <w:lvlText w:val="o"/>
      <w:lvlJc w:val="left"/>
      <w:pPr>
        <w:tabs>
          <w:tab w:val="num" w:pos="1083"/>
        </w:tabs>
        <w:ind w:left="1083" w:hanging="360"/>
      </w:pPr>
      <w:rPr>
        <w:rFonts w:ascii="Courier New" w:hAnsi="Courier New" w:hint="default"/>
      </w:rPr>
    </w:lvl>
    <w:lvl w:ilvl="2" w:tplc="F69A2358">
      <w:start w:val="1"/>
      <w:numFmt w:val="bullet"/>
      <w:lvlText w:val=""/>
      <w:lvlJc w:val="left"/>
      <w:pPr>
        <w:tabs>
          <w:tab w:val="num" w:pos="1803"/>
        </w:tabs>
        <w:ind w:left="1803" w:hanging="360"/>
      </w:pPr>
      <w:rPr>
        <w:rFonts w:ascii="Wingdings" w:hAnsi="Wingdings" w:hint="default"/>
      </w:rPr>
    </w:lvl>
    <w:lvl w:ilvl="3" w:tplc="3174B1B0">
      <w:start w:val="1"/>
      <w:numFmt w:val="bullet"/>
      <w:lvlText w:val=""/>
      <w:lvlJc w:val="left"/>
      <w:pPr>
        <w:tabs>
          <w:tab w:val="num" w:pos="2523"/>
        </w:tabs>
        <w:ind w:left="2523" w:hanging="360"/>
      </w:pPr>
      <w:rPr>
        <w:rFonts w:ascii="Symbol" w:hAnsi="Symbol" w:hint="default"/>
      </w:rPr>
    </w:lvl>
    <w:lvl w:ilvl="4" w:tplc="1E3683B2">
      <w:start w:val="1"/>
      <w:numFmt w:val="bullet"/>
      <w:lvlText w:val="o"/>
      <w:lvlJc w:val="left"/>
      <w:pPr>
        <w:tabs>
          <w:tab w:val="num" w:pos="3243"/>
        </w:tabs>
        <w:ind w:left="3243" w:hanging="360"/>
      </w:pPr>
      <w:rPr>
        <w:rFonts w:ascii="Courier New" w:hAnsi="Courier New" w:hint="default"/>
      </w:rPr>
    </w:lvl>
    <w:lvl w:ilvl="5" w:tplc="BCE669EE">
      <w:start w:val="1"/>
      <w:numFmt w:val="bullet"/>
      <w:lvlText w:val=""/>
      <w:lvlJc w:val="left"/>
      <w:pPr>
        <w:tabs>
          <w:tab w:val="num" w:pos="3963"/>
        </w:tabs>
        <w:ind w:left="3963" w:hanging="360"/>
      </w:pPr>
      <w:rPr>
        <w:rFonts w:ascii="Wingdings" w:hAnsi="Wingdings" w:hint="default"/>
      </w:rPr>
    </w:lvl>
    <w:lvl w:ilvl="6" w:tplc="5AACD85C">
      <w:start w:val="1"/>
      <w:numFmt w:val="bullet"/>
      <w:lvlText w:val=""/>
      <w:lvlJc w:val="left"/>
      <w:pPr>
        <w:tabs>
          <w:tab w:val="num" w:pos="4683"/>
        </w:tabs>
        <w:ind w:left="4683" w:hanging="360"/>
      </w:pPr>
      <w:rPr>
        <w:rFonts w:ascii="Symbol" w:hAnsi="Symbol" w:hint="default"/>
      </w:rPr>
    </w:lvl>
    <w:lvl w:ilvl="7" w:tplc="BEE0191A">
      <w:start w:val="1"/>
      <w:numFmt w:val="bullet"/>
      <w:lvlText w:val="o"/>
      <w:lvlJc w:val="left"/>
      <w:pPr>
        <w:tabs>
          <w:tab w:val="num" w:pos="5403"/>
        </w:tabs>
        <w:ind w:left="5403" w:hanging="360"/>
      </w:pPr>
      <w:rPr>
        <w:rFonts w:ascii="Courier New" w:hAnsi="Courier New" w:hint="default"/>
      </w:rPr>
    </w:lvl>
    <w:lvl w:ilvl="8" w:tplc="4EFA3FCE">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6DC82F6C">
      <w:start w:val="1"/>
      <w:numFmt w:val="bullet"/>
      <w:pStyle w:val="Bullet3"/>
      <w:lvlText w:val=""/>
      <w:lvlJc w:val="left"/>
      <w:pPr>
        <w:tabs>
          <w:tab w:val="num" w:pos="1800"/>
        </w:tabs>
        <w:ind w:left="1797" w:hanging="357"/>
      </w:pPr>
      <w:rPr>
        <w:rFonts w:ascii="Symbol" w:hAnsi="Symbol" w:hint="default"/>
      </w:rPr>
    </w:lvl>
    <w:lvl w:ilvl="1" w:tplc="9BB04B82">
      <w:start w:val="1"/>
      <w:numFmt w:val="bullet"/>
      <w:lvlText w:val="o"/>
      <w:lvlJc w:val="left"/>
      <w:pPr>
        <w:tabs>
          <w:tab w:val="num" w:pos="2160"/>
        </w:tabs>
        <w:ind w:left="2160" w:hanging="360"/>
      </w:pPr>
      <w:rPr>
        <w:rFonts w:ascii="Courier New" w:hAnsi="Courier New" w:hint="default"/>
      </w:rPr>
    </w:lvl>
    <w:lvl w:ilvl="2" w:tplc="1AD26D48">
      <w:start w:val="1"/>
      <w:numFmt w:val="bullet"/>
      <w:lvlText w:val=""/>
      <w:lvlJc w:val="left"/>
      <w:pPr>
        <w:tabs>
          <w:tab w:val="num" w:pos="2880"/>
        </w:tabs>
        <w:ind w:left="2880" w:hanging="360"/>
      </w:pPr>
      <w:rPr>
        <w:rFonts w:ascii="Wingdings" w:hAnsi="Wingdings" w:hint="default"/>
      </w:rPr>
    </w:lvl>
    <w:lvl w:ilvl="3" w:tplc="FE7C77EC">
      <w:start w:val="1"/>
      <w:numFmt w:val="bullet"/>
      <w:lvlText w:val=""/>
      <w:lvlJc w:val="left"/>
      <w:pPr>
        <w:tabs>
          <w:tab w:val="num" w:pos="3600"/>
        </w:tabs>
        <w:ind w:left="3600" w:hanging="360"/>
      </w:pPr>
      <w:rPr>
        <w:rFonts w:ascii="Symbol" w:hAnsi="Symbol" w:hint="default"/>
      </w:rPr>
    </w:lvl>
    <w:lvl w:ilvl="4" w:tplc="3E6C1C04">
      <w:start w:val="1"/>
      <w:numFmt w:val="bullet"/>
      <w:lvlText w:val="o"/>
      <w:lvlJc w:val="left"/>
      <w:pPr>
        <w:tabs>
          <w:tab w:val="num" w:pos="4320"/>
        </w:tabs>
        <w:ind w:left="4320" w:hanging="360"/>
      </w:pPr>
      <w:rPr>
        <w:rFonts w:ascii="Courier New" w:hAnsi="Courier New" w:hint="default"/>
      </w:rPr>
    </w:lvl>
    <w:lvl w:ilvl="5" w:tplc="2BA01A62">
      <w:start w:val="1"/>
      <w:numFmt w:val="bullet"/>
      <w:lvlText w:val=""/>
      <w:lvlJc w:val="left"/>
      <w:pPr>
        <w:tabs>
          <w:tab w:val="num" w:pos="5040"/>
        </w:tabs>
        <w:ind w:left="5040" w:hanging="360"/>
      </w:pPr>
      <w:rPr>
        <w:rFonts w:ascii="Wingdings" w:hAnsi="Wingdings" w:hint="default"/>
      </w:rPr>
    </w:lvl>
    <w:lvl w:ilvl="6" w:tplc="6122E790">
      <w:start w:val="1"/>
      <w:numFmt w:val="bullet"/>
      <w:lvlText w:val=""/>
      <w:lvlJc w:val="left"/>
      <w:pPr>
        <w:tabs>
          <w:tab w:val="num" w:pos="5760"/>
        </w:tabs>
        <w:ind w:left="5760" w:hanging="360"/>
      </w:pPr>
      <w:rPr>
        <w:rFonts w:ascii="Symbol" w:hAnsi="Symbol" w:hint="default"/>
      </w:rPr>
    </w:lvl>
    <w:lvl w:ilvl="7" w:tplc="166A426A">
      <w:start w:val="1"/>
      <w:numFmt w:val="bullet"/>
      <w:lvlText w:val="o"/>
      <w:lvlJc w:val="left"/>
      <w:pPr>
        <w:tabs>
          <w:tab w:val="num" w:pos="6480"/>
        </w:tabs>
        <w:ind w:left="6480" w:hanging="360"/>
      </w:pPr>
      <w:rPr>
        <w:rFonts w:ascii="Courier New" w:hAnsi="Courier New" w:hint="default"/>
      </w:rPr>
    </w:lvl>
    <w:lvl w:ilvl="8" w:tplc="32D2FD66">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F050C84C">
      <w:start w:val="1"/>
      <w:numFmt w:val="bullet"/>
      <w:pStyle w:val="Bullet5"/>
      <w:lvlText w:val=""/>
      <w:lvlJc w:val="left"/>
      <w:pPr>
        <w:tabs>
          <w:tab w:val="num" w:pos="1795"/>
        </w:tabs>
        <w:ind w:left="1792" w:hanging="357"/>
      </w:pPr>
      <w:rPr>
        <w:rFonts w:ascii="Symbol" w:hAnsi="Symbol" w:hint="default"/>
      </w:rPr>
    </w:lvl>
    <w:lvl w:ilvl="1" w:tplc="C890B154">
      <w:start w:val="1"/>
      <w:numFmt w:val="bullet"/>
      <w:lvlText w:val="o"/>
      <w:lvlJc w:val="left"/>
      <w:pPr>
        <w:tabs>
          <w:tab w:val="num" w:pos="1440"/>
        </w:tabs>
        <w:ind w:left="1440" w:hanging="360"/>
      </w:pPr>
      <w:rPr>
        <w:rFonts w:ascii="Courier New" w:hAnsi="Courier New" w:hint="default"/>
      </w:rPr>
    </w:lvl>
    <w:lvl w:ilvl="2" w:tplc="8FF0643E">
      <w:start w:val="1"/>
      <w:numFmt w:val="bullet"/>
      <w:lvlText w:val=""/>
      <w:lvlJc w:val="left"/>
      <w:pPr>
        <w:tabs>
          <w:tab w:val="num" w:pos="2160"/>
        </w:tabs>
        <w:ind w:left="2160" w:hanging="360"/>
      </w:pPr>
      <w:rPr>
        <w:rFonts w:ascii="Wingdings" w:hAnsi="Wingdings" w:hint="default"/>
      </w:rPr>
    </w:lvl>
    <w:lvl w:ilvl="3" w:tplc="3EE2CB50">
      <w:start w:val="1"/>
      <w:numFmt w:val="bullet"/>
      <w:lvlText w:val=""/>
      <w:lvlJc w:val="left"/>
      <w:pPr>
        <w:tabs>
          <w:tab w:val="num" w:pos="2880"/>
        </w:tabs>
        <w:ind w:left="2880" w:hanging="360"/>
      </w:pPr>
      <w:rPr>
        <w:rFonts w:ascii="Symbol" w:hAnsi="Symbol" w:hint="default"/>
      </w:rPr>
    </w:lvl>
    <w:lvl w:ilvl="4" w:tplc="64E8B21C">
      <w:start w:val="1"/>
      <w:numFmt w:val="bullet"/>
      <w:lvlText w:val="o"/>
      <w:lvlJc w:val="left"/>
      <w:pPr>
        <w:tabs>
          <w:tab w:val="num" w:pos="3600"/>
        </w:tabs>
        <w:ind w:left="3600" w:hanging="360"/>
      </w:pPr>
      <w:rPr>
        <w:rFonts w:ascii="Courier New" w:hAnsi="Courier New" w:hint="default"/>
      </w:rPr>
    </w:lvl>
    <w:lvl w:ilvl="5" w:tplc="92DC85E2">
      <w:start w:val="1"/>
      <w:numFmt w:val="bullet"/>
      <w:lvlText w:val=""/>
      <w:lvlJc w:val="left"/>
      <w:pPr>
        <w:tabs>
          <w:tab w:val="num" w:pos="4320"/>
        </w:tabs>
        <w:ind w:left="4320" w:hanging="360"/>
      </w:pPr>
      <w:rPr>
        <w:rFonts w:ascii="Wingdings" w:hAnsi="Wingdings" w:hint="default"/>
      </w:rPr>
    </w:lvl>
    <w:lvl w:ilvl="6" w:tplc="D4C642C0">
      <w:start w:val="1"/>
      <w:numFmt w:val="bullet"/>
      <w:lvlText w:val=""/>
      <w:lvlJc w:val="left"/>
      <w:pPr>
        <w:tabs>
          <w:tab w:val="num" w:pos="5040"/>
        </w:tabs>
        <w:ind w:left="5040" w:hanging="360"/>
      </w:pPr>
      <w:rPr>
        <w:rFonts w:ascii="Symbol" w:hAnsi="Symbol" w:hint="default"/>
      </w:rPr>
    </w:lvl>
    <w:lvl w:ilvl="7" w:tplc="4950F188">
      <w:start w:val="1"/>
      <w:numFmt w:val="bullet"/>
      <w:lvlText w:val="o"/>
      <w:lvlJc w:val="left"/>
      <w:pPr>
        <w:tabs>
          <w:tab w:val="num" w:pos="5760"/>
        </w:tabs>
        <w:ind w:left="5760" w:hanging="360"/>
      </w:pPr>
      <w:rPr>
        <w:rFonts w:ascii="Courier New" w:hAnsi="Courier New" w:hint="default"/>
      </w:rPr>
    </w:lvl>
    <w:lvl w:ilvl="8" w:tplc="ABDA704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CA968BEA">
      <w:start w:val="1"/>
      <w:numFmt w:val="bullet"/>
      <w:pStyle w:val="Bullet6"/>
      <w:lvlText w:val=""/>
      <w:lvlJc w:val="left"/>
      <w:pPr>
        <w:tabs>
          <w:tab w:val="num" w:pos="2152"/>
        </w:tabs>
        <w:ind w:left="2149" w:hanging="357"/>
      </w:pPr>
      <w:rPr>
        <w:rFonts w:ascii="Symbol" w:hAnsi="Symbol" w:hint="default"/>
      </w:rPr>
    </w:lvl>
    <w:lvl w:ilvl="1" w:tplc="301A9E82">
      <w:start w:val="1"/>
      <w:numFmt w:val="bullet"/>
      <w:lvlText w:val="o"/>
      <w:lvlJc w:val="left"/>
      <w:pPr>
        <w:tabs>
          <w:tab w:val="num" w:pos="1440"/>
        </w:tabs>
        <w:ind w:left="1440" w:hanging="360"/>
      </w:pPr>
      <w:rPr>
        <w:rFonts w:ascii="Courier New" w:hAnsi="Courier New" w:hint="default"/>
      </w:rPr>
    </w:lvl>
    <w:lvl w:ilvl="2" w:tplc="75E68E26">
      <w:start w:val="1"/>
      <w:numFmt w:val="bullet"/>
      <w:lvlText w:val=""/>
      <w:lvlJc w:val="left"/>
      <w:pPr>
        <w:tabs>
          <w:tab w:val="num" w:pos="2160"/>
        </w:tabs>
        <w:ind w:left="2160" w:hanging="360"/>
      </w:pPr>
      <w:rPr>
        <w:rFonts w:ascii="Wingdings" w:hAnsi="Wingdings" w:hint="default"/>
      </w:rPr>
    </w:lvl>
    <w:lvl w:ilvl="3" w:tplc="B106BF5C">
      <w:start w:val="1"/>
      <w:numFmt w:val="bullet"/>
      <w:lvlText w:val=""/>
      <w:lvlJc w:val="left"/>
      <w:pPr>
        <w:tabs>
          <w:tab w:val="num" w:pos="2880"/>
        </w:tabs>
        <w:ind w:left="2880" w:hanging="360"/>
      </w:pPr>
      <w:rPr>
        <w:rFonts w:ascii="Symbol" w:hAnsi="Symbol" w:hint="default"/>
      </w:rPr>
    </w:lvl>
    <w:lvl w:ilvl="4" w:tplc="DE585D76">
      <w:start w:val="1"/>
      <w:numFmt w:val="bullet"/>
      <w:lvlText w:val="o"/>
      <w:lvlJc w:val="left"/>
      <w:pPr>
        <w:tabs>
          <w:tab w:val="num" w:pos="3600"/>
        </w:tabs>
        <w:ind w:left="3600" w:hanging="360"/>
      </w:pPr>
      <w:rPr>
        <w:rFonts w:ascii="Courier New" w:hAnsi="Courier New" w:hint="default"/>
      </w:rPr>
    </w:lvl>
    <w:lvl w:ilvl="5" w:tplc="161474B8">
      <w:start w:val="1"/>
      <w:numFmt w:val="bullet"/>
      <w:lvlText w:val=""/>
      <w:lvlJc w:val="left"/>
      <w:pPr>
        <w:tabs>
          <w:tab w:val="num" w:pos="4320"/>
        </w:tabs>
        <w:ind w:left="4320" w:hanging="360"/>
      </w:pPr>
      <w:rPr>
        <w:rFonts w:ascii="Wingdings" w:hAnsi="Wingdings" w:hint="default"/>
      </w:rPr>
    </w:lvl>
    <w:lvl w:ilvl="6" w:tplc="3BE41D7E">
      <w:start w:val="1"/>
      <w:numFmt w:val="bullet"/>
      <w:lvlText w:val=""/>
      <w:lvlJc w:val="left"/>
      <w:pPr>
        <w:tabs>
          <w:tab w:val="num" w:pos="5040"/>
        </w:tabs>
        <w:ind w:left="5040" w:hanging="360"/>
      </w:pPr>
      <w:rPr>
        <w:rFonts w:ascii="Symbol" w:hAnsi="Symbol" w:hint="default"/>
      </w:rPr>
    </w:lvl>
    <w:lvl w:ilvl="7" w:tplc="E8A0D3B0">
      <w:start w:val="1"/>
      <w:numFmt w:val="bullet"/>
      <w:lvlText w:val="o"/>
      <w:lvlJc w:val="left"/>
      <w:pPr>
        <w:tabs>
          <w:tab w:val="num" w:pos="5760"/>
        </w:tabs>
        <w:ind w:left="5760" w:hanging="360"/>
      </w:pPr>
      <w:rPr>
        <w:rFonts w:ascii="Courier New" w:hAnsi="Courier New" w:hint="default"/>
      </w:rPr>
    </w:lvl>
    <w:lvl w:ilvl="8" w:tplc="8ADA640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25E3"/>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59E4"/>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B9B"/>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27536"/>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67217"/>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357"/>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16B4"/>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2019-03-27T20:13:11.4847044Z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4f5d9864-14e1-4dce-8557-35de12fe6f7b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